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4F" w:rsidRDefault="0003464F" w:rsidP="00CC0695">
      <w:pPr>
        <w:jc w:val="center"/>
        <w:rPr>
          <w:rFonts w:ascii="Tahoma" w:hAnsi="Tahoma" w:cs="Tahoma"/>
          <w:bCs/>
          <w:sz w:val="22"/>
          <w:szCs w:val="22"/>
          <w:lang w:val="tr-TR"/>
        </w:rPr>
      </w:pPr>
      <w:r>
        <w:rPr>
          <w:rFonts w:ascii="Tahoma" w:hAnsi="Tahoma" w:cs="Tahoma"/>
          <w:bCs/>
          <w:sz w:val="22"/>
          <w:szCs w:val="22"/>
          <w:lang w:val="tr-TR"/>
        </w:rPr>
        <w:t>KARAR SAYISI: TE(K-I)997</w:t>
      </w:r>
      <w:bookmarkStart w:id="0" w:name="_GoBack"/>
      <w:bookmarkEnd w:id="0"/>
      <w:r w:rsidRPr="0003464F">
        <w:rPr>
          <w:rFonts w:ascii="Tahoma" w:hAnsi="Tahoma" w:cs="Tahoma"/>
          <w:bCs/>
          <w:sz w:val="22"/>
          <w:szCs w:val="22"/>
          <w:lang w:val="tr-TR"/>
        </w:rPr>
        <w:t>-2018</w:t>
      </w:r>
    </w:p>
    <w:p w:rsidR="00BF049A" w:rsidRDefault="00CC0695" w:rsidP="00CC0695">
      <w:pPr>
        <w:jc w:val="center"/>
        <w:rPr>
          <w:rFonts w:ascii="Tahoma" w:hAnsi="Tahoma" w:cs="Tahoma"/>
          <w:bCs/>
          <w:sz w:val="22"/>
          <w:szCs w:val="22"/>
          <w:lang w:val="tr-TR"/>
        </w:rPr>
      </w:pPr>
      <w:r w:rsidRPr="00CC0695">
        <w:rPr>
          <w:rFonts w:ascii="Tahoma" w:hAnsi="Tahoma" w:cs="Tahoma"/>
          <w:bCs/>
          <w:sz w:val="22"/>
          <w:szCs w:val="22"/>
          <w:lang w:val="tr-TR"/>
        </w:rPr>
        <w:t>ŞANS OYUNLARI HİZMETLERİ VERGİSİNİN YENİDEN BELİRLENMESİ</w:t>
      </w:r>
    </w:p>
    <w:p w:rsidR="00CC0695" w:rsidRPr="00CC0695" w:rsidRDefault="00CC0695" w:rsidP="00CC0695">
      <w:pPr>
        <w:jc w:val="right"/>
        <w:rPr>
          <w:rFonts w:ascii="Tahoma" w:hAnsi="Tahoma" w:cs="Tahoma"/>
          <w:bCs/>
          <w:sz w:val="18"/>
          <w:szCs w:val="18"/>
          <w:lang w:val="tr-TR"/>
        </w:rPr>
      </w:pPr>
      <w:r w:rsidRPr="00CC0695">
        <w:rPr>
          <w:rFonts w:ascii="Tahoma" w:hAnsi="Tahoma" w:cs="Tahoma"/>
          <w:bCs/>
          <w:sz w:val="18"/>
          <w:szCs w:val="18"/>
          <w:lang w:val="tr-TR"/>
        </w:rPr>
        <w:t>(Önerge No: 1103/2018)</w:t>
      </w:r>
    </w:p>
    <w:p w:rsidR="00CC0695" w:rsidRPr="00CC0695" w:rsidRDefault="00CC0695" w:rsidP="00CC0695">
      <w:pPr>
        <w:jc w:val="right"/>
        <w:rPr>
          <w:rFonts w:ascii="Tahoma" w:hAnsi="Tahoma" w:cs="Tahoma"/>
          <w:b/>
          <w:bCs/>
          <w:sz w:val="18"/>
          <w:szCs w:val="18"/>
          <w:lang w:val="tr-TR"/>
        </w:rPr>
      </w:pPr>
      <w:r w:rsidRPr="00CC0695">
        <w:rPr>
          <w:rFonts w:ascii="Tahoma" w:hAnsi="Tahoma" w:cs="Tahoma"/>
          <w:bCs/>
          <w:sz w:val="18"/>
          <w:szCs w:val="18"/>
          <w:lang w:val="tr-TR"/>
        </w:rPr>
        <w:t>(M.B.)</w:t>
      </w:r>
    </w:p>
    <w:p w:rsidR="00577F75" w:rsidRPr="00CC0695" w:rsidRDefault="00577F75" w:rsidP="00CC0695">
      <w:pPr>
        <w:jc w:val="right"/>
        <w:rPr>
          <w:rFonts w:ascii="Tahoma" w:hAnsi="Tahoma" w:cs="Tahoma"/>
          <w:b/>
          <w:bCs/>
          <w:sz w:val="18"/>
          <w:szCs w:val="18"/>
          <w:lang w:val="tr-TR"/>
        </w:rPr>
      </w:pPr>
    </w:p>
    <w:p w:rsidR="00DD46AF" w:rsidRDefault="00471DCE" w:rsidP="000B52BD">
      <w:pPr>
        <w:jc w:val="both"/>
        <w:rPr>
          <w:rFonts w:ascii="Tahoma" w:hAnsi="Tahoma" w:cs="Tahoma"/>
          <w:bCs/>
          <w:sz w:val="22"/>
          <w:szCs w:val="22"/>
          <w:lang w:val="tr-TR"/>
        </w:rPr>
      </w:pPr>
      <w:r w:rsidRPr="00577F75">
        <w:rPr>
          <w:rFonts w:ascii="Tahoma" w:hAnsi="Tahoma" w:cs="Tahoma"/>
          <w:b/>
          <w:bCs/>
          <w:sz w:val="22"/>
          <w:szCs w:val="22"/>
          <w:lang w:val="tr-TR"/>
        </w:rPr>
        <w:tab/>
      </w:r>
      <w:r w:rsidR="00DD46AF" w:rsidRPr="00577F75">
        <w:rPr>
          <w:rFonts w:ascii="Tahoma" w:hAnsi="Tahoma" w:cs="Tahoma"/>
          <w:bCs/>
          <w:sz w:val="22"/>
          <w:szCs w:val="22"/>
          <w:lang w:val="tr-TR"/>
        </w:rPr>
        <w:t>Bakanlar Kurulu, 31/2009 sayılı Şans Oyunları Yasası kapsamında Devletten Kumarhane (Casino) faaliyetinde bulunma izni alıp faaliyette bulunanlar ile 67/1999 sayılı Beden Eğitimi ve Spor Yasası kapsamında müşterek bahis oynatma izni alan ve bu kapsamda müşterek bahis oyunu oynatan gerçe</w:t>
      </w:r>
      <w:r w:rsidR="00577F75" w:rsidRPr="00577F75">
        <w:rPr>
          <w:rFonts w:ascii="Tahoma" w:hAnsi="Tahoma" w:cs="Tahoma"/>
          <w:bCs/>
          <w:sz w:val="22"/>
          <w:szCs w:val="22"/>
          <w:lang w:val="tr-TR"/>
        </w:rPr>
        <w:t xml:space="preserve">k veya tüzel kişilerden </w:t>
      </w:r>
      <w:r w:rsidR="00D3249C">
        <w:rPr>
          <w:rFonts w:ascii="Tahoma" w:hAnsi="Tahoma" w:cs="Tahoma"/>
          <w:bCs/>
          <w:sz w:val="22"/>
          <w:szCs w:val="22"/>
          <w:lang w:val="tr-TR"/>
        </w:rPr>
        <w:t xml:space="preserve">alınan Gelir Vergisi stopajlarının </w:t>
      </w:r>
      <w:r w:rsidR="00D344AC">
        <w:rPr>
          <w:rFonts w:ascii="Tahoma" w:hAnsi="Tahoma" w:cs="Tahoma"/>
          <w:bCs/>
          <w:sz w:val="22"/>
          <w:szCs w:val="22"/>
          <w:lang w:val="tr-TR"/>
        </w:rPr>
        <w:t xml:space="preserve">değiştirilmiş şekliyle 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71/2007</w:t>
      </w:r>
      <w:r w:rsidR="00D3249C">
        <w:rPr>
          <w:rFonts w:ascii="Tahoma" w:hAnsi="Tahoma" w:cs="Tahoma"/>
          <w:bCs/>
          <w:sz w:val="22"/>
          <w:szCs w:val="22"/>
          <w:lang w:val="tr-TR"/>
        </w:rPr>
        <w:t xml:space="preserve"> sa</w:t>
      </w:r>
      <w:r w:rsidR="00D344AC">
        <w:rPr>
          <w:rFonts w:ascii="Tahoma" w:hAnsi="Tahoma" w:cs="Tahoma"/>
          <w:bCs/>
          <w:sz w:val="22"/>
          <w:szCs w:val="22"/>
          <w:lang w:val="tr-TR"/>
        </w:rPr>
        <w:t xml:space="preserve">yılı 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Şans Oyunları Vergisi Yasası’nın 7’nci madde</w:t>
      </w:r>
      <w:r w:rsidR="00D3249C">
        <w:rPr>
          <w:rFonts w:ascii="Tahoma" w:hAnsi="Tahoma" w:cs="Tahoma"/>
          <w:bCs/>
          <w:sz w:val="22"/>
          <w:szCs w:val="22"/>
          <w:lang w:val="tr-TR"/>
        </w:rPr>
        <w:t>sinin (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1</w:t>
      </w:r>
      <w:r w:rsidR="00D3249C">
        <w:rPr>
          <w:rFonts w:ascii="Tahoma" w:hAnsi="Tahoma" w:cs="Tahoma"/>
          <w:bCs/>
          <w:sz w:val="22"/>
          <w:szCs w:val="22"/>
          <w:lang w:val="tr-TR"/>
        </w:rPr>
        <w:t>)’inci</w:t>
      </w:r>
      <w:r w:rsidR="00D344AC">
        <w:rPr>
          <w:rFonts w:ascii="Tahoma" w:hAnsi="Tahoma" w:cs="Tahoma"/>
          <w:bCs/>
          <w:sz w:val="22"/>
          <w:szCs w:val="22"/>
          <w:lang w:val="tr-TR"/>
        </w:rPr>
        <w:t xml:space="preserve"> 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ve (2)’nci fıkralarının</w:t>
      </w:r>
      <w:r w:rsidR="00D344AC">
        <w:rPr>
          <w:rFonts w:ascii="Tahoma" w:hAnsi="Tahoma" w:cs="Tahoma"/>
          <w:bCs/>
          <w:sz w:val="22"/>
          <w:szCs w:val="22"/>
          <w:lang w:val="tr-TR"/>
        </w:rPr>
        <w:t xml:space="preserve"> ver</w:t>
      </w:r>
      <w:r w:rsidR="00DD46AF" w:rsidRPr="00577F75">
        <w:rPr>
          <w:rFonts w:ascii="Tahoma" w:hAnsi="Tahoma" w:cs="Tahoma"/>
          <w:bCs/>
          <w:sz w:val="22"/>
          <w:szCs w:val="22"/>
          <w:lang w:val="tr-TR"/>
        </w:rPr>
        <w:t>diği yetkiye istinaden 1 Eylül 2018 tarihi ile 28 Şubat 2019 tarihleri arasında geçerli olmak üzere aşağıdaki şekilde yeniden belirlenmesi</w:t>
      </w:r>
      <w:r w:rsidR="00CC0695">
        <w:rPr>
          <w:rFonts w:ascii="Tahoma" w:hAnsi="Tahoma" w:cs="Tahoma"/>
          <w:bCs/>
          <w:sz w:val="22"/>
          <w:szCs w:val="22"/>
          <w:lang w:val="tr-TR"/>
        </w:rPr>
        <w:t>ne karar verdi.</w:t>
      </w:r>
    </w:p>
    <w:p w:rsidR="00D344AC" w:rsidRPr="00D344AC" w:rsidRDefault="00B8019E" w:rsidP="00D344A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Cs/>
          <w:sz w:val="22"/>
          <w:szCs w:val="22"/>
          <w:lang w:val="tr-TR"/>
        </w:rPr>
      </w:pPr>
      <w:r>
        <w:rPr>
          <w:rFonts w:ascii="Tahoma" w:hAnsi="Tahoma" w:cs="Tahoma"/>
          <w:bCs/>
          <w:sz w:val="22"/>
          <w:szCs w:val="22"/>
          <w:lang w:val="tr-TR"/>
        </w:rPr>
        <w:t>Şans Oyunları</w:t>
      </w:r>
      <w:r w:rsidR="00CC0695">
        <w:rPr>
          <w:rFonts w:ascii="Tahoma" w:hAnsi="Tahoma" w:cs="Tahoma"/>
          <w:bCs/>
          <w:sz w:val="22"/>
          <w:szCs w:val="22"/>
          <w:lang w:val="tr-TR"/>
        </w:rPr>
        <w:t xml:space="preserve"> Vergisi </w:t>
      </w:r>
      <w:r w:rsidR="00DD46AF" w:rsidRPr="00577F75">
        <w:rPr>
          <w:rFonts w:ascii="Tahoma" w:hAnsi="Tahoma" w:cs="Tahoma"/>
          <w:bCs/>
          <w:sz w:val="22"/>
          <w:szCs w:val="22"/>
          <w:lang w:val="tr-TR"/>
        </w:rPr>
        <w:t>Yasa</w:t>
      </w:r>
      <w:r w:rsidR="00CC0695">
        <w:rPr>
          <w:rFonts w:ascii="Tahoma" w:hAnsi="Tahoma" w:cs="Tahoma"/>
          <w:bCs/>
          <w:sz w:val="22"/>
          <w:szCs w:val="22"/>
          <w:lang w:val="tr-TR"/>
        </w:rPr>
        <w:t>sı’</w:t>
      </w:r>
      <w:r w:rsidR="00DD46AF" w:rsidRPr="00577F75">
        <w:rPr>
          <w:rFonts w:ascii="Tahoma" w:hAnsi="Tahoma" w:cs="Tahoma"/>
          <w:bCs/>
          <w:sz w:val="22"/>
          <w:szCs w:val="22"/>
          <w:lang w:val="tr-TR"/>
        </w:rPr>
        <w:t xml:space="preserve">nın 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7</w:t>
      </w:r>
      <w:r w:rsidR="00CC0695">
        <w:rPr>
          <w:rFonts w:ascii="Tahoma" w:hAnsi="Tahoma" w:cs="Tahoma"/>
          <w:bCs/>
          <w:sz w:val="22"/>
          <w:szCs w:val="22"/>
          <w:lang w:val="tr-TR"/>
        </w:rPr>
        <w:t>’nci maddesinin</w:t>
      </w:r>
      <w:r w:rsidR="00D3249C">
        <w:rPr>
          <w:rFonts w:ascii="Tahoma" w:hAnsi="Tahoma" w:cs="Tahoma"/>
          <w:bCs/>
          <w:sz w:val="22"/>
          <w:szCs w:val="22"/>
          <w:lang w:val="tr-TR"/>
        </w:rPr>
        <w:t xml:space="preserve"> (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1</w:t>
      </w:r>
      <w:r w:rsidR="00D344AC">
        <w:rPr>
          <w:rFonts w:ascii="Tahoma" w:hAnsi="Tahoma" w:cs="Tahoma"/>
          <w:bCs/>
          <w:sz w:val="22"/>
          <w:szCs w:val="22"/>
          <w:lang w:val="tr-TR"/>
        </w:rPr>
        <w:t>)</w:t>
      </w:r>
      <w:r w:rsidR="00CC0695">
        <w:rPr>
          <w:rFonts w:ascii="Tahoma" w:hAnsi="Tahoma" w:cs="Tahoma"/>
          <w:bCs/>
          <w:sz w:val="22"/>
          <w:szCs w:val="22"/>
          <w:lang w:val="tr-TR"/>
        </w:rPr>
        <w:t>’inci</w:t>
      </w:r>
      <w:r w:rsidR="00DD46AF" w:rsidRPr="00577F75">
        <w:rPr>
          <w:rFonts w:ascii="Tahoma" w:hAnsi="Tahoma" w:cs="Tahoma"/>
          <w:bCs/>
          <w:sz w:val="22"/>
          <w:szCs w:val="22"/>
          <w:lang w:val="tr-TR"/>
        </w:rPr>
        <w:t xml:space="preserve"> fıkrasının (A)</w:t>
      </w:r>
      <w:r w:rsidR="00D3249C">
        <w:rPr>
          <w:rFonts w:ascii="Tahoma" w:hAnsi="Tahoma" w:cs="Tahoma"/>
          <w:bCs/>
          <w:sz w:val="22"/>
          <w:szCs w:val="22"/>
          <w:lang w:val="tr-TR"/>
        </w:rPr>
        <w:t xml:space="preserve"> </w:t>
      </w:r>
      <w:r w:rsidR="006E1FE1">
        <w:rPr>
          <w:rFonts w:ascii="Tahoma" w:hAnsi="Tahoma" w:cs="Tahoma"/>
          <w:bCs/>
          <w:sz w:val="22"/>
          <w:szCs w:val="22"/>
          <w:lang w:val="tr-TR"/>
        </w:rPr>
        <w:t xml:space="preserve">ve (B) </w:t>
      </w:r>
      <w:r w:rsidR="00D3249C">
        <w:rPr>
          <w:rFonts w:ascii="Tahoma" w:hAnsi="Tahoma" w:cs="Tahoma"/>
          <w:bCs/>
          <w:sz w:val="22"/>
          <w:szCs w:val="22"/>
          <w:lang w:val="tr-TR"/>
        </w:rPr>
        <w:t>bend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lerin</w:t>
      </w:r>
      <w:r w:rsidR="00DD46AF" w:rsidRPr="00577F75">
        <w:rPr>
          <w:rFonts w:ascii="Tahoma" w:hAnsi="Tahoma" w:cs="Tahoma"/>
          <w:bCs/>
          <w:sz w:val="22"/>
          <w:szCs w:val="22"/>
          <w:lang w:val="tr-TR"/>
        </w:rPr>
        <w:t>:</w:t>
      </w:r>
    </w:p>
    <w:p w:rsidR="00DD46AF" w:rsidRPr="00577F75" w:rsidRDefault="00D344AC" w:rsidP="000B52BD">
      <w:pPr>
        <w:jc w:val="both"/>
        <w:rPr>
          <w:rFonts w:ascii="Tahoma" w:hAnsi="Tahoma" w:cs="Tahoma"/>
          <w:bCs/>
          <w:sz w:val="22"/>
          <w:szCs w:val="22"/>
          <w:lang w:val="tr-TR"/>
        </w:rPr>
      </w:pPr>
      <w:r>
        <w:rPr>
          <w:rFonts w:ascii="Tahoma" w:hAnsi="Tahoma" w:cs="Tahoma"/>
          <w:bCs/>
          <w:sz w:val="22"/>
          <w:szCs w:val="22"/>
          <w:lang w:val="tr-TR"/>
        </w:rPr>
        <w:t>Şans Oyunları S</w:t>
      </w:r>
      <w:r w:rsidR="00DD46AF" w:rsidRPr="00577F75">
        <w:rPr>
          <w:rFonts w:ascii="Tahoma" w:hAnsi="Tahoma" w:cs="Tahoma"/>
          <w:bCs/>
          <w:sz w:val="22"/>
          <w:szCs w:val="22"/>
          <w:lang w:val="tr-TR"/>
        </w:rPr>
        <w:t>alonlarının</w:t>
      </w:r>
      <w:r>
        <w:rPr>
          <w:rFonts w:ascii="Tahoma" w:hAnsi="Tahoma" w:cs="Tahoma"/>
          <w:bCs/>
          <w:sz w:val="22"/>
          <w:szCs w:val="22"/>
          <w:lang w:val="tr-TR"/>
        </w:rPr>
        <w:t xml:space="preserve"> (Casino) faaliyetlerinde </w:t>
      </w:r>
      <w:r w:rsidR="00D3249C">
        <w:rPr>
          <w:rFonts w:ascii="Tahoma" w:hAnsi="Tahoma" w:cs="Tahoma"/>
          <w:bCs/>
          <w:sz w:val="22"/>
          <w:szCs w:val="22"/>
          <w:lang w:val="tr-TR"/>
        </w:rPr>
        <w:t>Gelir Vergisi Stopajının</w:t>
      </w:r>
      <w:r>
        <w:rPr>
          <w:rFonts w:ascii="Tahoma" w:hAnsi="Tahoma" w:cs="Tahoma"/>
          <w:bCs/>
          <w:sz w:val="22"/>
          <w:szCs w:val="22"/>
          <w:lang w:val="tr-TR"/>
        </w:rPr>
        <w:t>,</w:t>
      </w:r>
      <w:r w:rsidR="00DD46AF" w:rsidRPr="00577F75">
        <w:rPr>
          <w:rFonts w:ascii="Tahoma" w:hAnsi="Tahoma" w:cs="Tahoma"/>
          <w:bCs/>
          <w:sz w:val="22"/>
          <w:szCs w:val="22"/>
          <w:lang w:val="tr-TR"/>
        </w:rPr>
        <w:t xml:space="preserve"> </w:t>
      </w:r>
    </w:p>
    <w:tbl>
      <w:tblPr>
        <w:tblStyle w:val="TableGrid"/>
        <w:tblW w:w="94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8395"/>
      </w:tblGrid>
      <w:tr w:rsidR="00DD46AF" w:rsidRPr="00DD46AF" w:rsidTr="00577F75">
        <w:tc>
          <w:tcPr>
            <w:tcW w:w="1035" w:type="dxa"/>
          </w:tcPr>
          <w:p w:rsidR="00DD46AF" w:rsidRPr="00DD46AF" w:rsidRDefault="00D3249C" w:rsidP="00DD46AF">
            <w:pPr>
              <w:autoSpaceDE/>
              <w:autoSpaceDN/>
              <w:jc w:val="both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(a</w:t>
            </w:r>
            <w:r w:rsidR="00DD46AF" w:rsidRPr="00DD46A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95" w:type="dxa"/>
          </w:tcPr>
          <w:p w:rsidR="00DD46AF" w:rsidRPr="00DD46AF" w:rsidRDefault="00DD46AF" w:rsidP="00577F75">
            <w:pPr>
              <w:overflowPunct w:val="0"/>
              <w:adjustRightInd w:val="0"/>
              <w:jc w:val="both"/>
              <w:textAlignment w:val="baseline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DD46A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İlk 5 (Beş) oyun masası için toplam 4.320 (Dört bin üçyüz yirmi); 6 (Altı) ile 10 (On)’uncu masalar arası her oyun masası için 1080 (Bin seksen); 11 (Onbir)’inci ve sonrası her masa için ise 1.440 (Bin dört </w:t>
            </w:r>
            <w:r w:rsidR="00577F75" w:rsidRPr="00577F75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yüz kırk) USD (Amerikan Doları);</w:t>
            </w:r>
          </w:p>
        </w:tc>
      </w:tr>
      <w:tr w:rsidR="00DD46AF" w:rsidRPr="00DD46AF" w:rsidTr="00577F75">
        <w:tc>
          <w:tcPr>
            <w:tcW w:w="1035" w:type="dxa"/>
          </w:tcPr>
          <w:p w:rsidR="00DD46AF" w:rsidRPr="00DD46AF" w:rsidRDefault="00D3249C" w:rsidP="00DD46AF">
            <w:pPr>
              <w:autoSpaceDE/>
              <w:autoSpaceDN/>
              <w:jc w:val="both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(b</w:t>
            </w:r>
            <w:r w:rsidR="00DD46AF" w:rsidRPr="00DD46A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95" w:type="dxa"/>
          </w:tcPr>
          <w:p w:rsidR="00D344AC" w:rsidRPr="00DD46AF" w:rsidRDefault="00DD46AF" w:rsidP="00577F75">
            <w:pPr>
              <w:overflowPunct w:val="0"/>
              <w:adjustRightInd w:val="0"/>
              <w:jc w:val="both"/>
              <w:textAlignment w:val="baseline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DD46A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50 (elli) adet oyun makinası için toplam 7200 (yedi bin iki yüz); 51 (ellibir) ile 150 (yüzelli)’nci makinalar arası her oyun makinası için 150 (Yüzelli); 151 (yüzellibir) ile 300 (üçyüz)’üncü makinalar arası her oyun makinası için 158 (yüzellisekiz); 301 (üçyüzbir)  ve sonrası her oyun makinası için ise 165 USD (yüzaltmışbeş Amerikan Doları) </w:t>
            </w:r>
            <w:r w:rsidR="00D344AC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artırılması ve,</w:t>
            </w:r>
          </w:p>
        </w:tc>
      </w:tr>
    </w:tbl>
    <w:p w:rsidR="00577F75" w:rsidRPr="00577F75" w:rsidRDefault="00B8019E" w:rsidP="00B92AB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Cs/>
          <w:sz w:val="22"/>
          <w:szCs w:val="22"/>
          <w:lang w:val="tr-TR"/>
        </w:rPr>
      </w:pPr>
      <w:r>
        <w:rPr>
          <w:rFonts w:ascii="Tahoma" w:hAnsi="Tahoma" w:cs="Tahoma"/>
          <w:bCs/>
          <w:sz w:val="22"/>
          <w:szCs w:val="22"/>
          <w:lang w:val="tr-TR"/>
        </w:rPr>
        <w:t>1)</w:t>
      </w:r>
      <w:r>
        <w:rPr>
          <w:rFonts w:ascii="Tahoma" w:hAnsi="Tahoma" w:cs="Tahoma"/>
          <w:bCs/>
          <w:sz w:val="22"/>
          <w:szCs w:val="22"/>
          <w:lang w:val="tr-TR"/>
        </w:rPr>
        <w:tab/>
        <w:t>Şans Oyunları</w:t>
      </w:r>
      <w:r w:rsidR="00B92AB2" w:rsidRPr="00B92AB2">
        <w:rPr>
          <w:rFonts w:ascii="Tahoma" w:hAnsi="Tahoma" w:cs="Tahoma"/>
          <w:bCs/>
          <w:sz w:val="22"/>
          <w:szCs w:val="22"/>
          <w:lang w:val="tr-TR"/>
        </w:rPr>
        <w:t xml:space="preserve"> Vergisi Yasası’nın 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7</w:t>
      </w:r>
      <w:r w:rsidR="00B92AB2">
        <w:rPr>
          <w:rFonts w:ascii="Tahoma" w:hAnsi="Tahoma" w:cs="Tahoma"/>
          <w:bCs/>
          <w:sz w:val="22"/>
          <w:szCs w:val="22"/>
          <w:lang w:val="tr-TR"/>
        </w:rPr>
        <w:t>’nci maddesinin</w:t>
      </w:r>
      <w:r w:rsidR="00D3249C">
        <w:rPr>
          <w:rFonts w:ascii="Tahoma" w:hAnsi="Tahoma" w:cs="Tahoma"/>
          <w:bCs/>
          <w:sz w:val="22"/>
          <w:szCs w:val="22"/>
          <w:lang w:val="tr-TR"/>
        </w:rPr>
        <w:t xml:space="preserve"> (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2)</w:t>
      </w:r>
      <w:r w:rsidR="00B92AB2">
        <w:rPr>
          <w:rFonts w:ascii="Tahoma" w:hAnsi="Tahoma" w:cs="Tahoma"/>
          <w:bCs/>
          <w:sz w:val="22"/>
          <w:szCs w:val="22"/>
          <w:lang w:val="tr-TR"/>
        </w:rPr>
        <w:t>’nci</w:t>
      </w:r>
      <w:r w:rsidR="006E1FE1">
        <w:rPr>
          <w:rFonts w:ascii="Tahoma" w:hAnsi="Tahoma" w:cs="Tahoma"/>
          <w:bCs/>
          <w:sz w:val="22"/>
          <w:szCs w:val="22"/>
          <w:lang w:val="tr-TR"/>
        </w:rPr>
        <w:t xml:space="preserve"> fıkrasının (A</w:t>
      </w:r>
      <w:r w:rsidR="00577F75" w:rsidRPr="00577F75">
        <w:rPr>
          <w:rFonts w:ascii="Tahoma" w:hAnsi="Tahoma" w:cs="Tahoma"/>
          <w:bCs/>
          <w:sz w:val="22"/>
          <w:szCs w:val="22"/>
          <w:lang w:val="tr-TR"/>
        </w:rPr>
        <w:t xml:space="preserve">) bendinin (a) </w:t>
      </w:r>
      <w:r w:rsidR="006E1FE1">
        <w:rPr>
          <w:rFonts w:ascii="Tahoma" w:hAnsi="Tahoma" w:cs="Tahoma"/>
          <w:bCs/>
          <w:sz w:val="22"/>
          <w:szCs w:val="22"/>
          <w:lang w:val="tr-TR"/>
        </w:rPr>
        <w:t>ve (b)</w:t>
      </w:r>
      <w:r w:rsidR="00D3249C">
        <w:rPr>
          <w:rFonts w:ascii="Tahoma" w:hAnsi="Tahoma" w:cs="Tahoma"/>
          <w:bCs/>
          <w:sz w:val="22"/>
          <w:szCs w:val="22"/>
          <w:lang w:val="tr-TR"/>
        </w:rPr>
        <w:t xml:space="preserve"> </w:t>
      </w:r>
      <w:r w:rsidR="00577F75" w:rsidRPr="00577F75">
        <w:rPr>
          <w:rFonts w:ascii="Tahoma" w:hAnsi="Tahoma" w:cs="Tahoma"/>
          <w:bCs/>
          <w:sz w:val="22"/>
          <w:szCs w:val="22"/>
          <w:lang w:val="tr-TR"/>
        </w:rPr>
        <w:t>alt bendleri;</w:t>
      </w:r>
    </w:p>
    <w:p w:rsidR="00577F75" w:rsidRPr="00577F75" w:rsidRDefault="00577F75" w:rsidP="00577F75">
      <w:pPr>
        <w:jc w:val="both"/>
        <w:rPr>
          <w:rFonts w:ascii="Tahoma" w:hAnsi="Tahoma" w:cs="Tahoma"/>
          <w:bCs/>
          <w:sz w:val="22"/>
          <w:szCs w:val="22"/>
          <w:lang w:val="tr-TR"/>
        </w:rPr>
      </w:pPr>
      <w:r w:rsidRPr="00577F75">
        <w:rPr>
          <w:rFonts w:ascii="Tahoma" w:hAnsi="Tahoma" w:cs="Tahoma"/>
          <w:bCs/>
          <w:sz w:val="22"/>
          <w:szCs w:val="22"/>
          <w:lang w:val="tr-TR"/>
        </w:rPr>
        <w:t>Müşterek Bahis İşletmelerinde;</w:t>
      </w:r>
    </w:p>
    <w:tbl>
      <w:tblPr>
        <w:tblStyle w:val="TableGrid"/>
        <w:tblW w:w="94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8395"/>
      </w:tblGrid>
      <w:tr w:rsidR="00577F75" w:rsidRPr="00577F75" w:rsidTr="004A7609">
        <w:tc>
          <w:tcPr>
            <w:tcW w:w="630" w:type="dxa"/>
          </w:tcPr>
          <w:p w:rsidR="00577F75" w:rsidRPr="00577F75" w:rsidRDefault="00D344AC" w:rsidP="00577F75">
            <w:pPr>
              <w:autoSpaceDE/>
              <w:autoSpaceDN/>
              <w:jc w:val="both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(a</w:t>
            </w:r>
            <w:r w:rsidR="00577F75" w:rsidRPr="00577F75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09" w:type="dxa"/>
          </w:tcPr>
          <w:p w:rsidR="00577F75" w:rsidRPr="00577F75" w:rsidRDefault="00577F75" w:rsidP="00577F75">
            <w:pPr>
              <w:overflowPunct w:val="0"/>
              <w:adjustRightInd w:val="0"/>
              <w:jc w:val="both"/>
              <w:textAlignment w:val="baseline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577F75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At ve köpek yarışı, futbol ve diğer tüm bahisler için 7.740 (Yedi bin yedi yüz kırk USD (Amerikan Doları) </w:t>
            </w:r>
          </w:p>
        </w:tc>
      </w:tr>
      <w:tr w:rsidR="00577F75" w:rsidRPr="00577F75" w:rsidTr="004A7609">
        <w:tc>
          <w:tcPr>
            <w:tcW w:w="630" w:type="dxa"/>
          </w:tcPr>
          <w:p w:rsidR="00577F75" w:rsidRPr="00577F75" w:rsidRDefault="00D344AC" w:rsidP="00577F75">
            <w:pPr>
              <w:autoSpaceDE/>
              <w:autoSpaceDN/>
              <w:jc w:val="both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(b</w:t>
            </w:r>
            <w:r w:rsidR="00577F75" w:rsidRPr="00577F75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09" w:type="dxa"/>
          </w:tcPr>
          <w:p w:rsidR="00577F75" w:rsidRPr="00577F75" w:rsidRDefault="00577F75" w:rsidP="00577F75">
            <w:pPr>
              <w:overflowPunct w:val="0"/>
              <w:adjustRightInd w:val="0"/>
              <w:jc w:val="both"/>
              <w:textAlignment w:val="baseline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577F75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At ve köpek yarışı dışındaki bahisler için 5.400 (Beş bin dört yüz USD) USD (Amerikan Doları) artırılması</w:t>
            </w:r>
          </w:p>
        </w:tc>
      </w:tr>
    </w:tbl>
    <w:p w:rsidR="00894AB3" w:rsidRPr="00577F75" w:rsidRDefault="00B92AB2" w:rsidP="002A3C14">
      <w:pPr>
        <w:jc w:val="both"/>
        <w:rPr>
          <w:rFonts w:ascii="Tahoma" w:hAnsi="Tahoma" w:cs="Tahoma"/>
          <w:b/>
          <w:bCs/>
          <w:sz w:val="22"/>
          <w:szCs w:val="22"/>
          <w:lang w:val="tr-TR"/>
        </w:rPr>
      </w:pPr>
      <w:r>
        <w:rPr>
          <w:rFonts w:ascii="Tahoma" w:hAnsi="Tahoma" w:cs="Tahoma"/>
          <w:bCs/>
          <w:sz w:val="22"/>
          <w:szCs w:val="22"/>
          <w:lang w:val="tr-TR"/>
        </w:rPr>
        <w:t>17.8.2018</w:t>
      </w:r>
    </w:p>
    <w:sectPr w:rsidR="00894AB3" w:rsidRPr="00577F75" w:rsidSect="00A24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42126"/>
    <w:multiLevelType w:val="hybridMultilevel"/>
    <w:tmpl w:val="A0265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6608D"/>
    <w:multiLevelType w:val="hybridMultilevel"/>
    <w:tmpl w:val="D1149C9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2A"/>
    <w:rsid w:val="0003464F"/>
    <w:rsid w:val="00060A2A"/>
    <w:rsid w:val="000B52BD"/>
    <w:rsid w:val="00145CB8"/>
    <w:rsid w:val="00232614"/>
    <w:rsid w:val="00245A90"/>
    <w:rsid w:val="002A3C14"/>
    <w:rsid w:val="003C76C8"/>
    <w:rsid w:val="004237F0"/>
    <w:rsid w:val="00471DCE"/>
    <w:rsid w:val="00577F75"/>
    <w:rsid w:val="006E1FE1"/>
    <w:rsid w:val="007249F2"/>
    <w:rsid w:val="00762042"/>
    <w:rsid w:val="00832E68"/>
    <w:rsid w:val="00842DCC"/>
    <w:rsid w:val="00844842"/>
    <w:rsid w:val="00856C9A"/>
    <w:rsid w:val="00894AB3"/>
    <w:rsid w:val="00945105"/>
    <w:rsid w:val="00987D6B"/>
    <w:rsid w:val="00A24BBB"/>
    <w:rsid w:val="00A77769"/>
    <w:rsid w:val="00A90A81"/>
    <w:rsid w:val="00B3169C"/>
    <w:rsid w:val="00B66799"/>
    <w:rsid w:val="00B8019E"/>
    <w:rsid w:val="00B92AB2"/>
    <w:rsid w:val="00BD6F6C"/>
    <w:rsid w:val="00BF049A"/>
    <w:rsid w:val="00C878B3"/>
    <w:rsid w:val="00CC0695"/>
    <w:rsid w:val="00D3249C"/>
    <w:rsid w:val="00D344AC"/>
    <w:rsid w:val="00DA2534"/>
    <w:rsid w:val="00DD46AF"/>
    <w:rsid w:val="00DD5AA6"/>
    <w:rsid w:val="00E85DAC"/>
    <w:rsid w:val="00F8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6AF3-9085-4D42-97A9-F1EEB59B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799"/>
    <w:pPr>
      <w:keepNext/>
      <w:autoSpaceDE/>
      <w:autoSpaceDN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799"/>
    <w:pPr>
      <w:keepNext/>
      <w:autoSpaceDE/>
      <w:autoSpaceDN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799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799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05"/>
    <w:rPr>
      <w:rFonts w:ascii="Segoe UI" w:eastAsia="Times New Roman" w:hAnsi="Segoe UI" w:cs="Segoe UI"/>
      <w:sz w:val="18"/>
      <w:szCs w:val="18"/>
      <w:lang w:eastAsia="tr-TR"/>
    </w:rPr>
  </w:style>
  <w:style w:type="paragraph" w:styleId="ListParagraph">
    <w:name w:val="List Paragraph"/>
    <w:basedOn w:val="Normal"/>
    <w:uiPriority w:val="34"/>
    <w:qFormat/>
    <w:rsid w:val="00DD46AF"/>
    <w:pPr>
      <w:ind w:left="720"/>
      <w:contextualSpacing/>
    </w:pPr>
  </w:style>
  <w:style w:type="table" w:styleId="TableGrid">
    <w:name w:val="Table Grid"/>
    <w:basedOn w:val="TableNormal"/>
    <w:uiPriority w:val="39"/>
    <w:rsid w:val="00DD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9241-97FC-4426-956C-9025F227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HATİCE  CABACABA</cp:lastModifiedBy>
  <cp:revision>6</cp:revision>
  <cp:lastPrinted>2018-08-13T09:14:00Z</cp:lastPrinted>
  <dcterms:created xsi:type="dcterms:W3CDTF">2018-08-27T10:24:00Z</dcterms:created>
  <dcterms:modified xsi:type="dcterms:W3CDTF">2018-08-28T06:12:00Z</dcterms:modified>
</cp:coreProperties>
</file>