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Ind w:w="-106" w:type="dxa"/>
        <w:tblLayout w:type="fixed"/>
        <w:tblLook w:val="00A0" w:firstRow="1" w:lastRow="0" w:firstColumn="1" w:lastColumn="0" w:noHBand="0" w:noVBand="0"/>
      </w:tblPr>
      <w:tblGrid>
        <w:gridCol w:w="9570"/>
      </w:tblGrid>
      <w:tr w:rsidR="00F322BC" w:rsidTr="00F322BC">
        <w:tc>
          <w:tcPr>
            <w:tcW w:w="9570" w:type="dxa"/>
            <w:hideMark/>
          </w:tcPr>
          <w:p w:rsidR="00F322BC" w:rsidRDefault="00F322BC" w:rsidP="00176EA6">
            <w:pPr>
              <w:jc w:val="both"/>
              <w:rPr>
                <w:b/>
                <w:bCs/>
                <w:sz w:val="24"/>
                <w:szCs w:val="24"/>
              </w:rPr>
            </w:pPr>
            <w:bookmarkStart w:id="0" w:name="_GoBack"/>
            <w:bookmarkEnd w:id="0"/>
            <w:r>
              <w:rPr>
                <w:b/>
                <w:bCs/>
                <w:sz w:val="24"/>
                <w:szCs w:val="24"/>
                <w:lang w:val="en-US" w:eastAsia="en-US"/>
              </w:rPr>
              <w:br w:type="page"/>
            </w:r>
            <w:proofErr w:type="spellStart"/>
            <w:r>
              <w:rPr>
                <w:b/>
                <w:bCs/>
                <w:sz w:val="24"/>
                <w:szCs w:val="24"/>
                <w:lang w:val="en-US" w:eastAsia="en-US"/>
              </w:rPr>
              <w:t>Kuzey</w:t>
            </w:r>
            <w:proofErr w:type="spellEnd"/>
            <w:r>
              <w:rPr>
                <w:b/>
                <w:bCs/>
                <w:sz w:val="24"/>
                <w:szCs w:val="24"/>
                <w:lang w:val="en-US" w:eastAsia="en-US"/>
              </w:rPr>
              <w:t xml:space="preserve"> </w:t>
            </w:r>
            <w:proofErr w:type="spellStart"/>
            <w:r>
              <w:rPr>
                <w:b/>
                <w:bCs/>
                <w:sz w:val="24"/>
                <w:szCs w:val="24"/>
                <w:lang w:val="en-US" w:eastAsia="en-US"/>
              </w:rPr>
              <w:t>Kıbrıs</w:t>
            </w:r>
            <w:proofErr w:type="spellEnd"/>
            <w:r>
              <w:rPr>
                <w:b/>
                <w:bCs/>
                <w:sz w:val="24"/>
                <w:szCs w:val="24"/>
                <w:lang w:val="en-US" w:eastAsia="en-US"/>
              </w:rPr>
              <w:t xml:space="preserve"> </w:t>
            </w:r>
            <w:proofErr w:type="spellStart"/>
            <w:r>
              <w:rPr>
                <w:b/>
                <w:bCs/>
                <w:sz w:val="24"/>
                <w:szCs w:val="24"/>
                <w:lang w:val="en-US" w:eastAsia="en-US"/>
              </w:rPr>
              <w:t>Türk</w:t>
            </w:r>
            <w:proofErr w:type="spellEnd"/>
            <w:r>
              <w:rPr>
                <w:b/>
                <w:bCs/>
                <w:sz w:val="24"/>
                <w:szCs w:val="24"/>
                <w:lang w:val="en-US" w:eastAsia="en-US"/>
              </w:rPr>
              <w:t xml:space="preserve"> </w:t>
            </w:r>
            <w:proofErr w:type="spellStart"/>
            <w:r>
              <w:rPr>
                <w:b/>
                <w:bCs/>
                <w:sz w:val="24"/>
                <w:szCs w:val="24"/>
                <w:lang w:val="en-US" w:eastAsia="en-US"/>
              </w:rPr>
              <w:t>Cumhuriyeti</w:t>
            </w:r>
            <w:proofErr w:type="spellEnd"/>
            <w:r>
              <w:rPr>
                <w:b/>
                <w:bCs/>
                <w:sz w:val="24"/>
                <w:szCs w:val="24"/>
                <w:lang w:val="en-US" w:eastAsia="en-US"/>
              </w:rPr>
              <w:t xml:space="preserve"> </w:t>
            </w:r>
            <w:proofErr w:type="spellStart"/>
            <w:r>
              <w:rPr>
                <w:b/>
                <w:bCs/>
                <w:sz w:val="24"/>
                <w:szCs w:val="24"/>
                <w:lang w:val="en-US" w:eastAsia="en-US"/>
              </w:rPr>
              <w:t>Cumhuriyet</w:t>
            </w:r>
            <w:proofErr w:type="spellEnd"/>
            <w:r>
              <w:rPr>
                <w:b/>
                <w:bCs/>
                <w:sz w:val="24"/>
                <w:szCs w:val="24"/>
                <w:lang w:val="en-US" w:eastAsia="en-US"/>
              </w:rPr>
              <w:t xml:space="preserve"> </w:t>
            </w:r>
            <w:proofErr w:type="spellStart"/>
            <w:r>
              <w:rPr>
                <w:b/>
                <w:bCs/>
                <w:sz w:val="24"/>
                <w:szCs w:val="24"/>
                <w:lang w:val="en-US" w:eastAsia="en-US"/>
              </w:rPr>
              <w:t>Meclisi’nin</w:t>
            </w:r>
            <w:proofErr w:type="spellEnd"/>
            <w:r>
              <w:rPr>
                <w:b/>
                <w:bCs/>
                <w:sz w:val="24"/>
                <w:szCs w:val="24"/>
                <w:lang w:val="en-US" w:eastAsia="en-US"/>
              </w:rPr>
              <w:t xml:space="preserve"> </w:t>
            </w:r>
            <w:r w:rsidR="00176EA6">
              <w:rPr>
                <w:b/>
                <w:bCs/>
                <w:sz w:val="24"/>
                <w:szCs w:val="24"/>
                <w:lang w:val="en-US" w:eastAsia="en-US"/>
              </w:rPr>
              <w:t xml:space="preserve">20 </w:t>
            </w:r>
            <w:proofErr w:type="spellStart"/>
            <w:r w:rsidR="00176EA6">
              <w:rPr>
                <w:b/>
                <w:bCs/>
                <w:sz w:val="24"/>
                <w:szCs w:val="24"/>
                <w:lang w:val="en-US" w:eastAsia="en-US"/>
              </w:rPr>
              <w:t>Şubat</w:t>
            </w:r>
            <w:proofErr w:type="spellEnd"/>
            <w:r>
              <w:rPr>
                <w:b/>
                <w:bCs/>
                <w:sz w:val="24"/>
                <w:szCs w:val="24"/>
                <w:lang w:val="en-US" w:eastAsia="en-US"/>
              </w:rPr>
              <w:t xml:space="preserve"> 2017 </w:t>
            </w:r>
            <w:proofErr w:type="spellStart"/>
            <w:r>
              <w:rPr>
                <w:b/>
                <w:bCs/>
                <w:sz w:val="24"/>
                <w:szCs w:val="24"/>
                <w:lang w:val="en-US" w:eastAsia="en-US"/>
              </w:rPr>
              <w:t>tarihli</w:t>
            </w:r>
            <w:proofErr w:type="spellEnd"/>
            <w:r>
              <w:rPr>
                <w:b/>
                <w:bCs/>
                <w:sz w:val="24"/>
                <w:szCs w:val="24"/>
                <w:lang w:val="en-US" w:eastAsia="en-US"/>
              </w:rPr>
              <w:t xml:space="preserve"> </w:t>
            </w:r>
            <w:proofErr w:type="spellStart"/>
            <w:r>
              <w:rPr>
                <w:b/>
                <w:bCs/>
                <w:sz w:val="24"/>
                <w:szCs w:val="24"/>
                <w:lang w:val="en-US" w:eastAsia="en-US"/>
              </w:rPr>
              <w:t>Otuz</w:t>
            </w:r>
            <w:r w:rsidR="00176EA6">
              <w:rPr>
                <w:b/>
                <w:bCs/>
                <w:sz w:val="24"/>
                <w:szCs w:val="24"/>
                <w:lang w:val="en-US" w:eastAsia="en-US"/>
              </w:rPr>
              <w:t>dokuzuncu</w:t>
            </w:r>
            <w:proofErr w:type="spellEnd"/>
            <w:r>
              <w:rPr>
                <w:b/>
                <w:bCs/>
                <w:sz w:val="24"/>
                <w:szCs w:val="24"/>
                <w:lang w:val="en-US" w:eastAsia="en-US"/>
              </w:rPr>
              <w:t xml:space="preserve"> </w:t>
            </w:r>
            <w:proofErr w:type="spellStart"/>
            <w:r>
              <w:rPr>
                <w:b/>
                <w:bCs/>
                <w:sz w:val="24"/>
                <w:szCs w:val="24"/>
                <w:lang w:val="en-US" w:eastAsia="en-US"/>
              </w:rPr>
              <w:t>Birleşiminde</w:t>
            </w:r>
            <w:proofErr w:type="spellEnd"/>
            <w:r>
              <w:rPr>
                <w:b/>
                <w:bCs/>
                <w:sz w:val="24"/>
                <w:szCs w:val="24"/>
                <w:lang w:val="en-US" w:eastAsia="en-US"/>
              </w:rPr>
              <w:t xml:space="preserve"> </w:t>
            </w:r>
            <w:proofErr w:type="spellStart"/>
            <w:r>
              <w:rPr>
                <w:b/>
                <w:bCs/>
                <w:sz w:val="24"/>
                <w:szCs w:val="24"/>
                <w:lang w:val="en-US" w:eastAsia="en-US"/>
              </w:rPr>
              <w:t>Oy</w:t>
            </w:r>
            <w:r w:rsidR="00176EA6">
              <w:rPr>
                <w:b/>
                <w:bCs/>
                <w:sz w:val="24"/>
                <w:szCs w:val="24"/>
                <w:lang w:val="en-US" w:eastAsia="en-US"/>
              </w:rPr>
              <w:t>çokluğuyla</w:t>
            </w:r>
            <w:proofErr w:type="spellEnd"/>
            <w:r>
              <w:rPr>
                <w:b/>
                <w:bCs/>
                <w:sz w:val="24"/>
                <w:szCs w:val="24"/>
                <w:lang w:val="en-US" w:eastAsia="en-US"/>
              </w:rPr>
              <w:t xml:space="preserve"> </w:t>
            </w:r>
            <w:proofErr w:type="spellStart"/>
            <w:r>
              <w:rPr>
                <w:b/>
                <w:bCs/>
                <w:sz w:val="24"/>
                <w:szCs w:val="24"/>
                <w:lang w:val="en-US" w:eastAsia="en-US"/>
              </w:rPr>
              <w:t>kabul</w:t>
            </w:r>
            <w:proofErr w:type="spellEnd"/>
            <w:r>
              <w:rPr>
                <w:b/>
                <w:bCs/>
                <w:sz w:val="24"/>
                <w:szCs w:val="24"/>
                <w:lang w:val="en-US" w:eastAsia="en-US"/>
              </w:rPr>
              <w:t xml:space="preserve"> </w:t>
            </w:r>
            <w:proofErr w:type="spellStart"/>
            <w:r>
              <w:rPr>
                <w:b/>
                <w:bCs/>
                <w:sz w:val="24"/>
                <w:szCs w:val="24"/>
                <w:lang w:val="en-US" w:eastAsia="en-US"/>
              </w:rPr>
              <w:t>olunan</w:t>
            </w:r>
            <w:proofErr w:type="spellEnd"/>
            <w:r>
              <w:rPr>
                <w:b/>
                <w:bCs/>
                <w:sz w:val="24"/>
                <w:szCs w:val="24"/>
                <w:lang w:val="en-US" w:eastAsia="en-US"/>
              </w:rPr>
              <w:t xml:space="preserve"> “</w:t>
            </w:r>
            <w:r w:rsidR="00176EA6" w:rsidRPr="00176EA6">
              <w:rPr>
                <w:b/>
                <w:bCs/>
                <w:sz w:val="24"/>
                <w:szCs w:val="24"/>
                <w:lang w:eastAsia="en-US"/>
              </w:rPr>
              <w:t>Kamu Alacaklarının Tahsili Usulü</w:t>
            </w:r>
            <w:r>
              <w:rPr>
                <w:b/>
                <w:bCs/>
                <w:sz w:val="24"/>
                <w:szCs w:val="24"/>
                <w:lang w:eastAsia="en-US"/>
              </w:rPr>
              <w:t xml:space="preserve"> (Değişiklik) Yasası</w:t>
            </w:r>
            <w:r>
              <w:rPr>
                <w:b/>
                <w:bCs/>
                <w:sz w:val="24"/>
                <w:szCs w:val="24"/>
                <w:lang w:val="en-US" w:eastAsia="en-US"/>
              </w:rPr>
              <w:t xml:space="preserve">” </w:t>
            </w:r>
            <w:proofErr w:type="spellStart"/>
            <w:r>
              <w:rPr>
                <w:b/>
                <w:bCs/>
                <w:sz w:val="24"/>
                <w:szCs w:val="24"/>
                <w:lang w:val="en-US" w:eastAsia="en-US"/>
              </w:rPr>
              <w:t>Anayasanın</w:t>
            </w:r>
            <w:proofErr w:type="spellEnd"/>
            <w:r>
              <w:rPr>
                <w:b/>
                <w:bCs/>
                <w:sz w:val="24"/>
                <w:szCs w:val="24"/>
                <w:lang w:val="en-US" w:eastAsia="en-US"/>
              </w:rPr>
              <w:t xml:space="preserve"> 94’üncü </w:t>
            </w:r>
            <w:proofErr w:type="spellStart"/>
            <w:r>
              <w:rPr>
                <w:b/>
                <w:bCs/>
                <w:sz w:val="24"/>
                <w:szCs w:val="24"/>
                <w:lang w:val="en-US" w:eastAsia="en-US"/>
              </w:rPr>
              <w:t>maddesinin</w:t>
            </w:r>
            <w:proofErr w:type="spellEnd"/>
            <w:r>
              <w:rPr>
                <w:b/>
                <w:bCs/>
                <w:sz w:val="24"/>
                <w:szCs w:val="24"/>
                <w:lang w:val="en-US" w:eastAsia="en-US"/>
              </w:rPr>
              <w:t xml:space="preserve"> (1)’</w:t>
            </w:r>
            <w:proofErr w:type="spellStart"/>
            <w:r>
              <w:rPr>
                <w:b/>
                <w:bCs/>
                <w:sz w:val="24"/>
                <w:szCs w:val="24"/>
                <w:lang w:val="en-US" w:eastAsia="en-US"/>
              </w:rPr>
              <w:t>inci</w:t>
            </w:r>
            <w:proofErr w:type="spellEnd"/>
            <w:r>
              <w:rPr>
                <w:b/>
                <w:bCs/>
                <w:sz w:val="24"/>
                <w:szCs w:val="24"/>
                <w:lang w:val="en-US" w:eastAsia="en-US"/>
              </w:rPr>
              <w:t xml:space="preserve"> </w:t>
            </w:r>
            <w:proofErr w:type="spellStart"/>
            <w:r>
              <w:rPr>
                <w:b/>
                <w:bCs/>
                <w:sz w:val="24"/>
                <w:szCs w:val="24"/>
                <w:lang w:val="en-US" w:eastAsia="en-US"/>
              </w:rPr>
              <w:t>fıkrası</w:t>
            </w:r>
            <w:proofErr w:type="spellEnd"/>
            <w:r>
              <w:rPr>
                <w:b/>
                <w:bCs/>
                <w:sz w:val="24"/>
                <w:szCs w:val="24"/>
                <w:lang w:val="en-US" w:eastAsia="en-US"/>
              </w:rPr>
              <w:t xml:space="preserve"> </w:t>
            </w:r>
            <w:proofErr w:type="spellStart"/>
            <w:r>
              <w:rPr>
                <w:b/>
                <w:bCs/>
                <w:sz w:val="24"/>
                <w:szCs w:val="24"/>
                <w:lang w:val="en-US" w:eastAsia="en-US"/>
              </w:rPr>
              <w:t>gereğince</w:t>
            </w:r>
            <w:proofErr w:type="spellEnd"/>
            <w:r>
              <w:rPr>
                <w:b/>
                <w:bCs/>
                <w:sz w:val="24"/>
                <w:szCs w:val="24"/>
                <w:lang w:val="en-US" w:eastAsia="en-US"/>
              </w:rPr>
              <w:t xml:space="preserve"> </w:t>
            </w:r>
            <w:proofErr w:type="spellStart"/>
            <w:r>
              <w:rPr>
                <w:b/>
                <w:bCs/>
                <w:sz w:val="24"/>
                <w:szCs w:val="24"/>
                <w:lang w:val="en-US" w:eastAsia="en-US"/>
              </w:rPr>
              <w:t>Kuzey</w:t>
            </w:r>
            <w:proofErr w:type="spellEnd"/>
            <w:r>
              <w:rPr>
                <w:b/>
                <w:bCs/>
                <w:sz w:val="24"/>
                <w:szCs w:val="24"/>
                <w:lang w:val="en-US" w:eastAsia="en-US"/>
              </w:rPr>
              <w:t xml:space="preserve"> </w:t>
            </w:r>
            <w:proofErr w:type="spellStart"/>
            <w:r>
              <w:rPr>
                <w:b/>
                <w:bCs/>
                <w:sz w:val="24"/>
                <w:szCs w:val="24"/>
                <w:lang w:val="en-US" w:eastAsia="en-US"/>
              </w:rPr>
              <w:t>Kıbrıs</w:t>
            </w:r>
            <w:proofErr w:type="spellEnd"/>
            <w:r>
              <w:rPr>
                <w:b/>
                <w:bCs/>
                <w:sz w:val="24"/>
                <w:szCs w:val="24"/>
                <w:lang w:val="en-US" w:eastAsia="en-US"/>
              </w:rPr>
              <w:t xml:space="preserve"> </w:t>
            </w:r>
            <w:proofErr w:type="spellStart"/>
            <w:r>
              <w:rPr>
                <w:b/>
                <w:bCs/>
                <w:sz w:val="24"/>
                <w:szCs w:val="24"/>
                <w:lang w:val="en-US" w:eastAsia="en-US"/>
              </w:rPr>
              <w:t>Türk</w:t>
            </w:r>
            <w:proofErr w:type="spellEnd"/>
            <w:r>
              <w:rPr>
                <w:b/>
                <w:bCs/>
                <w:sz w:val="24"/>
                <w:szCs w:val="24"/>
                <w:lang w:val="en-US" w:eastAsia="en-US"/>
              </w:rPr>
              <w:t xml:space="preserve"> </w:t>
            </w:r>
            <w:proofErr w:type="spellStart"/>
            <w:r>
              <w:rPr>
                <w:b/>
                <w:bCs/>
                <w:sz w:val="24"/>
                <w:szCs w:val="24"/>
                <w:lang w:val="en-US" w:eastAsia="en-US"/>
              </w:rPr>
              <w:t>Cumhuriyeti</w:t>
            </w:r>
            <w:proofErr w:type="spellEnd"/>
            <w:r>
              <w:rPr>
                <w:b/>
                <w:bCs/>
                <w:sz w:val="24"/>
                <w:szCs w:val="24"/>
                <w:lang w:val="en-US" w:eastAsia="en-US"/>
              </w:rPr>
              <w:t xml:space="preserve"> </w:t>
            </w:r>
            <w:proofErr w:type="spellStart"/>
            <w:r>
              <w:rPr>
                <w:b/>
                <w:bCs/>
                <w:sz w:val="24"/>
                <w:szCs w:val="24"/>
                <w:lang w:val="en-US" w:eastAsia="en-US"/>
              </w:rPr>
              <w:t>Cumhurbaşkanı</w:t>
            </w:r>
            <w:proofErr w:type="spellEnd"/>
            <w:r>
              <w:rPr>
                <w:b/>
                <w:bCs/>
                <w:sz w:val="24"/>
                <w:szCs w:val="24"/>
                <w:lang w:val="en-US" w:eastAsia="en-US"/>
              </w:rPr>
              <w:t xml:space="preserve"> </w:t>
            </w:r>
            <w:proofErr w:type="spellStart"/>
            <w:r>
              <w:rPr>
                <w:b/>
                <w:bCs/>
                <w:sz w:val="24"/>
                <w:szCs w:val="24"/>
                <w:lang w:val="en-US" w:eastAsia="en-US"/>
              </w:rPr>
              <w:t>tarafından</w:t>
            </w:r>
            <w:proofErr w:type="spellEnd"/>
            <w:r>
              <w:rPr>
                <w:b/>
                <w:bCs/>
                <w:sz w:val="24"/>
                <w:szCs w:val="24"/>
                <w:lang w:val="en-US" w:eastAsia="en-US"/>
              </w:rPr>
              <w:t xml:space="preserve"> </w:t>
            </w:r>
            <w:proofErr w:type="spellStart"/>
            <w:r>
              <w:rPr>
                <w:b/>
                <w:bCs/>
                <w:sz w:val="24"/>
                <w:szCs w:val="24"/>
                <w:lang w:val="en-US" w:eastAsia="en-US"/>
              </w:rPr>
              <w:t>Resmi</w:t>
            </w:r>
            <w:proofErr w:type="spellEnd"/>
            <w:r>
              <w:rPr>
                <w:b/>
                <w:bCs/>
                <w:sz w:val="24"/>
                <w:szCs w:val="24"/>
                <w:lang w:val="en-US" w:eastAsia="en-US"/>
              </w:rPr>
              <w:t xml:space="preserve"> </w:t>
            </w:r>
            <w:proofErr w:type="spellStart"/>
            <w:r>
              <w:rPr>
                <w:b/>
                <w:bCs/>
                <w:sz w:val="24"/>
                <w:szCs w:val="24"/>
                <w:lang w:val="en-US" w:eastAsia="en-US"/>
              </w:rPr>
              <w:t>Gazete’de</w:t>
            </w:r>
            <w:proofErr w:type="spellEnd"/>
            <w:r>
              <w:rPr>
                <w:b/>
                <w:bCs/>
                <w:sz w:val="24"/>
                <w:szCs w:val="24"/>
                <w:lang w:val="en-US" w:eastAsia="en-US"/>
              </w:rPr>
              <w:t xml:space="preserve"> </w:t>
            </w:r>
            <w:proofErr w:type="spellStart"/>
            <w:r>
              <w:rPr>
                <w:b/>
                <w:bCs/>
                <w:sz w:val="24"/>
                <w:szCs w:val="24"/>
                <w:lang w:val="en-US" w:eastAsia="en-US"/>
              </w:rPr>
              <w:t>yayımlanmak</w:t>
            </w:r>
            <w:proofErr w:type="spellEnd"/>
            <w:r>
              <w:rPr>
                <w:b/>
                <w:bCs/>
                <w:sz w:val="24"/>
                <w:szCs w:val="24"/>
                <w:lang w:val="en-US" w:eastAsia="en-US"/>
              </w:rPr>
              <w:t xml:space="preserve"> </w:t>
            </w:r>
            <w:proofErr w:type="spellStart"/>
            <w:r>
              <w:rPr>
                <w:b/>
                <w:bCs/>
                <w:sz w:val="24"/>
                <w:szCs w:val="24"/>
                <w:lang w:val="en-US" w:eastAsia="en-US"/>
              </w:rPr>
              <w:t>suretiyle</w:t>
            </w:r>
            <w:proofErr w:type="spellEnd"/>
            <w:r>
              <w:rPr>
                <w:b/>
                <w:bCs/>
                <w:sz w:val="24"/>
                <w:szCs w:val="24"/>
                <w:lang w:val="en-US" w:eastAsia="en-US"/>
              </w:rPr>
              <w:t xml:space="preserve"> </w:t>
            </w:r>
            <w:proofErr w:type="spellStart"/>
            <w:r>
              <w:rPr>
                <w:b/>
                <w:bCs/>
                <w:sz w:val="24"/>
                <w:szCs w:val="24"/>
                <w:lang w:val="en-US" w:eastAsia="en-US"/>
              </w:rPr>
              <w:t>ilan</w:t>
            </w:r>
            <w:proofErr w:type="spellEnd"/>
            <w:r>
              <w:rPr>
                <w:b/>
                <w:bCs/>
                <w:sz w:val="24"/>
                <w:szCs w:val="24"/>
                <w:lang w:val="en-US" w:eastAsia="en-US"/>
              </w:rPr>
              <w:t xml:space="preserve"> </w:t>
            </w:r>
            <w:proofErr w:type="spellStart"/>
            <w:r>
              <w:rPr>
                <w:b/>
                <w:bCs/>
                <w:sz w:val="24"/>
                <w:szCs w:val="24"/>
                <w:lang w:val="en-US" w:eastAsia="en-US"/>
              </w:rPr>
              <w:t>olunur</w:t>
            </w:r>
            <w:proofErr w:type="spellEnd"/>
            <w:r>
              <w:rPr>
                <w:b/>
                <w:bCs/>
                <w:sz w:val="24"/>
                <w:szCs w:val="24"/>
                <w:lang w:val="en-US" w:eastAsia="en-US"/>
              </w:rPr>
              <w:t>.</w:t>
            </w:r>
          </w:p>
        </w:tc>
      </w:tr>
    </w:tbl>
    <w:p w:rsidR="00F322BC" w:rsidRDefault="00F322BC" w:rsidP="00F322BC">
      <w:pPr>
        <w:spacing w:line="360" w:lineRule="auto"/>
        <w:jc w:val="center"/>
        <w:rPr>
          <w:bCs/>
          <w:sz w:val="24"/>
          <w:szCs w:val="24"/>
          <w:lang w:eastAsia="en-US"/>
        </w:rPr>
      </w:pPr>
    </w:p>
    <w:p w:rsidR="00720780" w:rsidRDefault="00720780" w:rsidP="00F322BC">
      <w:pPr>
        <w:spacing w:line="360" w:lineRule="auto"/>
        <w:jc w:val="center"/>
        <w:rPr>
          <w:bCs/>
          <w:sz w:val="24"/>
          <w:szCs w:val="24"/>
          <w:lang w:eastAsia="en-US"/>
        </w:rPr>
      </w:pPr>
    </w:p>
    <w:p w:rsidR="00F322BC" w:rsidRDefault="00176EA6" w:rsidP="00F322BC">
      <w:pPr>
        <w:spacing w:line="360" w:lineRule="auto"/>
        <w:jc w:val="center"/>
        <w:rPr>
          <w:bCs/>
          <w:sz w:val="24"/>
          <w:szCs w:val="24"/>
          <w:lang w:eastAsia="en-US"/>
        </w:rPr>
      </w:pPr>
      <w:r>
        <w:rPr>
          <w:bCs/>
          <w:sz w:val="24"/>
          <w:szCs w:val="24"/>
          <w:lang w:eastAsia="en-US"/>
        </w:rPr>
        <w:t>Sayı:13</w:t>
      </w:r>
      <w:r w:rsidR="00F322BC">
        <w:rPr>
          <w:bCs/>
          <w:sz w:val="24"/>
          <w:szCs w:val="24"/>
          <w:lang w:eastAsia="en-US"/>
        </w:rPr>
        <w:t>/2017</w:t>
      </w:r>
    </w:p>
    <w:p w:rsidR="00F322BC" w:rsidRDefault="00F322BC" w:rsidP="00F322BC">
      <w:pPr>
        <w:jc w:val="center"/>
        <w:rPr>
          <w:sz w:val="24"/>
          <w:szCs w:val="24"/>
        </w:rPr>
      </w:pPr>
    </w:p>
    <w:p w:rsidR="00720780" w:rsidRDefault="00720780" w:rsidP="00F322BC">
      <w:pPr>
        <w:jc w:val="center"/>
        <w:rPr>
          <w:sz w:val="24"/>
          <w:szCs w:val="24"/>
        </w:rPr>
      </w:pPr>
    </w:p>
    <w:tbl>
      <w:tblPr>
        <w:tblW w:w="9464" w:type="dxa"/>
        <w:tblLayout w:type="fixed"/>
        <w:tblLook w:val="00A0" w:firstRow="1" w:lastRow="0" w:firstColumn="1" w:lastColumn="0" w:noHBand="0" w:noVBand="0"/>
      </w:tblPr>
      <w:tblGrid>
        <w:gridCol w:w="1809"/>
        <w:gridCol w:w="284"/>
        <w:gridCol w:w="142"/>
        <w:gridCol w:w="567"/>
        <w:gridCol w:w="283"/>
        <w:gridCol w:w="425"/>
        <w:gridCol w:w="142"/>
        <w:gridCol w:w="284"/>
        <w:gridCol w:w="141"/>
        <w:gridCol w:w="142"/>
        <w:gridCol w:w="284"/>
        <w:gridCol w:w="141"/>
        <w:gridCol w:w="426"/>
        <w:gridCol w:w="141"/>
        <w:gridCol w:w="142"/>
        <w:gridCol w:w="4111"/>
      </w:tblGrid>
      <w:tr w:rsidR="00F322BC" w:rsidRPr="00F322BC" w:rsidTr="00FF52D9">
        <w:trPr>
          <w:trHeight w:val="708"/>
        </w:trPr>
        <w:tc>
          <w:tcPr>
            <w:tcW w:w="9464" w:type="dxa"/>
            <w:gridSpan w:val="16"/>
          </w:tcPr>
          <w:p w:rsidR="00F322BC" w:rsidRPr="00F322BC" w:rsidRDefault="00F322BC" w:rsidP="00F322BC">
            <w:pPr>
              <w:autoSpaceDE w:val="0"/>
              <w:autoSpaceDN w:val="0"/>
              <w:jc w:val="center"/>
              <w:rPr>
                <w:rFonts w:eastAsia="Calibri"/>
                <w:bCs/>
                <w:sz w:val="24"/>
                <w:szCs w:val="24"/>
              </w:rPr>
            </w:pPr>
            <w:r w:rsidRPr="00F322BC">
              <w:rPr>
                <w:rFonts w:eastAsia="Calibri"/>
                <w:bCs/>
                <w:sz w:val="24"/>
                <w:szCs w:val="24"/>
              </w:rPr>
              <w:t>KAMU ALACAKLARININ TAHSİLİ USULÜ</w:t>
            </w:r>
          </w:p>
          <w:p w:rsidR="00F322BC" w:rsidRPr="00F322BC" w:rsidRDefault="00F322BC" w:rsidP="00F322BC">
            <w:pPr>
              <w:autoSpaceDE w:val="0"/>
              <w:autoSpaceDN w:val="0"/>
              <w:jc w:val="center"/>
              <w:rPr>
                <w:rFonts w:eastAsia="Calibri"/>
                <w:bCs/>
                <w:sz w:val="24"/>
                <w:szCs w:val="24"/>
              </w:rPr>
            </w:pPr>
            <w:r w:rsidRPr="00F322BC">
              <w:rPr>
                <w:rFonts w:eastAsia="Calibri"/>
                <w:bCs/>
                <w:sz w:val="24"/>
                <w:szCs w:val="24"/>
              </w:rPr>
              <w:t>(DEĞİŞİKLİK) YASASI</w:t>
            </w:r>
          </w:p>
          <w:p w:rsidR="00F322BC" w:rsidRPr="00F322BC" w:rsidRDefault="00F322BC" w:rsidP="00F322BC">
            <w:pPr>
              <w:autoSpaceDE w:val="0"/>
              <w:autoSpaceDN w:val="0"/>
              <w:jc w:val="center"/>
              <w:rPr>
                <w:rFonts w:eastAsia="Calibri"/>
                <w:bCs/>
                <w:sz w:val="24"/>
                <w:szCs w:val="24"/>
              </w:rPr>
            </w:pPr>
          </w:p>
          <w:p w:rsidR="00F322BC" w:rsidRPr="00F322BC" w:rsidRDefault="00F322BC" w:rsidP="00F322BC">
            <w:pPr>
              <w:autoSpaceDE w:val="0"/>
              <w:autoSpaceDN w:val="0"/>
              <w:jc w:val="center"/>
              <w:rPr>
                <w:rFonts w:eastAsia="Calibri"/>
                <w:bCs/>
                <w:sz w:val="24"/>
                <w:szCs w:val="24"/>
              </w:rPr>
            </w:pPr>
          </w:p>
        </w:tc>
      </w:tr>
      <w:tr w:rsidR="00F322BC" w:rsidRPr="00F322BC" w:rsidTr="00FF52D9">
        <w:tc>
          <w:tcPr>
            <w:tcW w:w="1809" w:type="dxa"/>
          </w:tcPr>
          <w:p w:rsidR="00F322BC" w:rsidRPr="00F322BC" w:rsidRDefault="00F322BC" w:rsidP="00F322BC">
            <w:pPr>
              <w:autoSpaceDE w:val="0"/>
              <w:autoSpaceDN w:val="0"/>
              <w:jc w:val="both"/>
              <w:rPr>
                <w:rFonts w:eastAsia="Calibri"/>
                <w:sz w:val="24"/>
                <w:szCs w:val="24"/>
              </w:rPr>
            </w:pPr>
          </w:p>
          <w:p w:rsidR="00F322BC" w:rsidRPr="00F322BC" w:rsidRDefault="00F322BC" w:rsidP="00F322BC">
            <w:pPr>
              <w:autoSpaceDE w:val="0"/>
              <w:autoSpaceDN w:val="0"/>
              <w:jc w:val="both"/>
              <w:rPr>
                <w:rFonts w:eastAsia="Calibri"/>
                <w:sz w:val="24"/>
                <w:szCs w:val="24"/>
              </w:rPr>
            </w:pP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Kuzey Kıbrıs Türk Cumhuriyeti Cumhuriyet Meclisi aşağıdaki Yasayı yapar:</w:t>
            </w:r>
          </w:p>
          <w:p w:rsidR="00F322BC" w:rsidRPr="00F322BC" w:rsidRDefault="00F322BC" w:rsidP="00F322BC">
            <w:pPr>
              <w:autoSpaceDE w:val="0"/>
              <w:autoSpaceDN w:val="0"/>
              <w:jc w:val="both"/>
              <w:rPr>
                <w:rFonts w:eastAsia="Calibri"/>
                <w:sz w:val="24"/>
                <w:szCs w:val="24"/>
              </w:rPr>
            </w:pPr>
          </w:p>
        </w:tc>
      </w:tr>
      <w:tr w:rsidR="00F322BC" w:rsidRPr="00F322BC" w:rsidTr="00FF52D9">
        <w:trPr>
          <w:trHeight w:val="2556"/>
        </w:trPr>
        <w:tc>
          <w:tcPr>
            <w:tcW w:w="1809" w:type="dxa"/>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Kısa İsim</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48/1977</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28/1985</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31/1988</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31/1991</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23/1997</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54/1999</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35/2005</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59/2010</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1. Bu Yasa, Kamu Alacaklarının Tahsili Usulü (Değişiklik) Yasası olarak isimlendirilir ve aşağıda “Esas Yasa” olarak anılan Kamu Alacaklarının Tahsili Usulü Yasası ile birlikte okunur.</w:t>
            </w:r>
          </w:p>
          <w:p w:rsidR="00F322BC" w:rsidRPr="00F322BC" w:rsidRDefault="00F322BC" w:rsidP="00F322BC">
            <w:pPr>
              <w:autoSpaceDE w:val="0"/>
              <w:autoSpaceDN w:val="0"/>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7655" w:type="dxa"/>
            <w:gridSpan w:val="15"/>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Esas Yasanın 3’üncü Maddesinin Değiştirilmesi</w:t>
            </w:r>
          </w:p>
        </w:tc>
        <w:tc>
          <w:tcPr>
            <w:tcW w:w="426"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2.</w:t>
            </w:r>
          </w:p>
        </w:tc>
        <w:tc>
          <w:tcPr>
            <w:tcW w:w="567" w:type="dxa"/>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(1)</w:t>
            </w:r>
          </w:p>
        </w:tc>
        <w:tc>
          <w:tcPr>
            <w:tcW w:w="6662" w:type="dxa"/>
            <w:gridSpan w:val="1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Esas Yasa, 3’üncü maddesinde yer alan “ Alacaklı Kamu İdaresi” tefsiri kaldırılmak ve yerine aşağıdaki yeni “Alacaklı Kamu İdaresi” tefsiri konmak suretiyle değiştirilir: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426" w:type="dxa"/>
            <w:gridSpan w:val="2"/>
          </w:tcPr>
          <w:p w:rsidR="00F322BC" w:rsidRPr="00F322BC" w:rsidRDefault="00F322BC" w:rsidP="00F322BC">
            <w:pPr>
              <w:autoSpaceDE w:val="0"/>
              <w:autoSpaceDN w:val="0"/>
              <w:jc w:val="both"/>
              <w:rPr>
                <w:rFonts w:eastAsia="Calibri"/>
                <w:sz w:val="24"/>
                <w:szCs w:val="24"/>
              </w:rPr>
            </w:pPr>
          </w:p>
        </w:tc>
        <w:tc>
          <w:tcPr>
            <w:tcW w:w="567" w:type="dxa"/>
          </w:tcPr>
          <w:p w:rsidR="00F322BC" w:rsidRPr="00F322BC" w:rsidRDefault="00F322BC" w:rsidP="00F322BC">
            <w:pPr>
              <w:autoSpaceDE w:val="0"/>
              <w:autoSpaceDN w:val="0"/>
              <w:jc w:val="both"/>
              <w:rPr>
                <w:rFonts w:eastAsia="Calibri"/>
                <w:sz w:val="24"/>
                <w:szCs w:val="24"/>
              </w:rPr>
            </w:pPr>
          </w:p>
        </w:tc>
        <w:tc>
          <w:tcPr>
            <w:tcW w:w="283" w:type="dxa"/>
          </w:tcPr>
          <w:p w:rsidR="00F322BC" w:rsidRPr="00F322BC" w:rsidRDefault="00F322BC" w:rsidP="00F322BC">
            <w:pPr>
              <w:autoSpaceDE w:val="0"/>
              <w:autoSpaceDN w:val="0"/>
              <w:jc w:val="both"/>
              <w:rPr>
                <w:rFonts w:eastAsia="Calibri"/>
                <w:sz w:val="24"/>
                <w:szCs w:val="24"/>
              </w:rPr>
            </w:pPr>
          </w:p>
        </w:tc>
        <w:tc>
          <w:tcPr>
            <w:tcW w:w="6379" w:type="dxa"/>
            <w:gridSpan w:val="11"/>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“Alacaklı Kamu İdaresi”, Devleti, belediyeleri, Kıbrıs Türk Elektrik Kurumunu, köy idarelerini ve köy idarelerinin yasa uyarınca kurduğu birlik ve dernekleri, yasa ile kurulmuş kamu kurum ve kuruluşlarını, Vakıflar Örgütü ve Din İşleri Dairesini,”</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426" w:type="dxa"/>
            <w:gridSpan w:val="2"/>
          </w:tcPr>
          <w:p w:rsidR="00F322BC" w:rsidRPr="00F322BC" w:rsidRDefault="00F322BC" w:rsidP="00F322BC">
            <w:pPr>
              <w:autoSpaceDE w:val="0"/>
              <w:autoSpaceDN w:val="0"/>
              <w:jc w:val="both"/>
              <w:rPr>
                <w:rFonts w:eastAsia="Calibri"/>
                <w:sz w:val="24"/>
                <w:szCs w:val="24"/>
              </w:rPr>
            </w:pPr>
          </w:p>
        </w:tc>
        <w:tc>
          <w:tcPr>
            <w:tcW w:w="567" w:type="dxa"/>
          </w:tcPr>
          <w:p w:rsidR="00F322BC" w:rsidRPr="00F322BC" w:rsidRDefault="00F322BC" w:rsidP="00F322BC">
            <w:pPr>
              <w:autoSpaceDE w:val="0"/>
              <w:autoSpaceDN w:val="0"/>
              <w:jc w:val="both"/>
              <w:rPr>
                <w:rFonts w:eastAsia="Calibri"/>
                <w:sz w:val="24"/>
                <w:szCs w:val="24"/>
              </w:rPr>
            </w:pPr>
          </w:p>
        </w:tc>
        <w:tc>
          <w:tcPr>
            <w:tcW w:w="283" w:type="dxa"/>
          </w:tcPr>
          <w:p w:rsidR="00F322BC" w:rsidRPr="00F322BC" w:rsidRDefault="00F322BC" w:rsidP="00F322BC">
            <w:pPr>
              <w:autoSpaceDE w:val="0"/>
              <w:autoSpaceDN w:val="0"/>
              <w:jc w:val="both"/>
              <w:rPr>
                <w:rFonts w:eastAsia="Calibri"/>
                <w:sz w:val="24"/>
                <w:szCs w:val="24"/>
              </w:rPr>
            </w:pPr>
          </w:p>
        </w:tc>
        <w:tc>
          <w:tcPr>
            <w:tcW w:w="6379" w:type="dxa"/>
            <w:gridSpan w:val="11"/>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426" w:type="dxa"/>
            <w:gridSpan w:val="2"/>
          </w:tcPr>
          <w:p w:rsidR="00F322BC" w:rsidRPr="00F322BC" w:rsidRDefault="00F322BC" w:rsidP="00F322BC">
            <w:pPr>
              <w:autoSpaceDE w:val="0"/>
              <w:autoSpaceDN w:val="0"/>
              <w:jc w:val="both"/>
              <w:rPr>
                <w:rFonts w:eastAsia="Calibri"/>
                <w:sz w:val="24"/>
                <w:szCs w:val="24"/>
              </w:rPr>
            </w:pPr>
          </w:p>
        </w:tc>
        <w:tc>
          <w:tcPr>
            <w:tcW w:w="567" w:type="dxa"/>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(2)</w:t>
            </w:r>
          </w:p>
        </w:tc>
        <w:tc>
          <w:tcPr>
            <w:tcW w:w="6662" w:type="dxa"/>
            <w:gridSpan w:val="1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Esas Yasa, 3’üncü maddesinde yer alan “Takibat Giderleri” tefsirinden hemen sonra aşağıdaki yeni “Vergi Güvenlik Belgesi” tefsiri eklenmek suretiyle değiştirilir: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426" w:type="dxa"/>
            <w:gridSpan w:val="2"/>
          </w:tcPr>
          <w:p w:rsidR="00F322BC" w:rsidRPr="00F322BC" w:rsidRDefault="00F322BC" w:rsidP="00F322BC">
            <w:pPr>
              <w:autoSpaceDE w:val="0"/>
              <w:autoSpaceDN w:val="0"/>
              <w:jc w:val="both"/>
              <w:rPr>
                <w:rFonts w:eastAsia="Calibri"/>
                <w:sz w:val="24"/>
                <w:szCs w:val="24"/>
              </w:rPr>
            </w:pPr>
          </w:p>
        </w:tc>
        <w:tc>
          <w:tcPr>
            <w:tcW w:w="567" w:type="dxa"/>
          </w:tcPr>
          <w:p w:rsidR="00F322BC" w:rsidRPr="00F322BC" w:rsidRDefault="00F322BC" w:rsidP="00F322BC">
            <w:pPr>
              <w:autoSpaceDE w:val="0"/>
              <w:autoSpaceDN w:val="0"/>
              <w:jc w:val="both"/>
              <w:rPr>
                <w:rFonts w:eastAsia="Calibri"/>
                <w:sz w:val="24"/>
                <w:szCs w:val="24"/>
              </w:rPr>
            </w:pPr>
          </w:p>
        </w:tc>
        <w:tc>
          <w:tcPr>
            <w:tcW w:w="283" w:type="dxa"/>
          </w:tcPr>
          <w:p w:rsidR="00F322BC" w:rsidRPr="00F322BC" w:rsidRDefault="00F322BC" w:rsidP="00F322BC">
            <w:pPr>
              <w:autoSpaceDE w:val="0"/>
              <w:autoSpaceDN w:val="0"/>
              <w:jc w:val="both"/>
              <w:rPr>
                <w:rFonts w:eastAsia="Calibri"/>
                <w:sz w:val="24"/>
                <w:szCs w:val="24"/>
              </w:rPr>
            </w:pPr>
          </w:p>
        </w:tc>
        <w:tc>
          <w:tcPr>
            <w:tcW w:w="6379" w:type="dxa"/>
            <w:gridSpan w:val="11"/>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426" w:type="dxa"/>
            <w:gridSpan w:val="2"/>
          </w:tcPr>
          <w:p w:rsidR="00F322BC" w:rsidRPr="00F322BC" w:rsidRDefault="00F322BC" w:rsidP="00F322BC">
            <w:pPr>
              <w:autoSpaceDE w:val="0"/>
              <w:autoSpaceDN w:val="0"/>
              <w:jc w:val="both"/>
              <w:rPr>
                <w:rFonts w:eastAsia="Calibri"/>
                <w:sz w:val="24"/>
                <w:szCs w:val="24"/>
              </w:rPr>
            </w:pPr>
          </w:p>
        </w:tc>
        <w:tc>
          <w:tcPr>
            <w:tcW w:w="567" w:type="dxa"/>
          </w:tcPr>
          <w:p w:rsidR="00F322BC" w:rsidRPr="00F322BC" w:rsidRDefault="00F322BC" w:rsidP="00F322BC">
            <w:pPr>
              <w:autoSpaceDE w:val="0"/>
              <w:autoSpaceDN w:val="0"/>
              <w:jc w:val="both"/>
              <w:rPr>
                <w:rFonts w:eastAsia="Calibri"/>
                <w:sz w:val="24"/>
                <w:szCs w:val="24"/>
              </w:rPr>
            </w:pPr>
          </w:p>
        </w:tc>
        <w:tc>
          <w:tcPr>
            <w:tcW w:w="283" w:type="dxa"/>
          </w:tcPr>
          <w:p w:rsidR="00F322BC" w:rsidRPr="00F322BC" w:rsidRDefault="00F322BC" w:rsidP="00F322BC">
            <w:pPr>
              <w:autoSpaceDE w:val="0"/>
              <w:autoSpaceDN w:val="0"/>
              <w:jc w:val="both"/>
              <w:rPr>
                <w:rFonts w:eastAsia="Calibri"/>
                <w:sz w:val="24"/>
                <w:szCs w:val="24"/>
              </w:rPr>
            </w:pPr>
          </w:p>
        </w:tc>
        <w:tc>
          <w:tcPr>
            <w:tcW w:w="6379" w:type="dxa"/>
            <w:gridSpan w:val="11"/>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“Vergi Güvenlik Belgesi”, gerçek ve tüzel kişilerin alacaklı kamu idareleri nezdindeki borç durumlarını gösteren yazılı belgeyi,”</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426" w:type="dxa"/>
            <w:gridSpan w:val="2"/>
          </w:tcPr>
          <w:p w:rsidR="00F322BC" w:rsidRPr="00F322BC" w:rsidRDefault="00F322BC" w:rsidP="00F322BC">
            <w:pPr>
              <w:autoSpaceDE w:val="0"/>
              <w:autoSpaceDN w:val="0"/>
              <w:jc w:val="both"/>
              <w:rPr>
                <w:rFonts w:eastAsia="Calibri"/>
                <w:sz w:val="24"/>
                <w:szCs w:val="24"/>
              </w:rPr>
            </w:pPr>
          </w:p>
        </w:tc>
        <w:tc>
          <w:tcPr>
            <w:tcW w:w="567" w:type="dxa"/>
          </w:tcPr>
          <w:p w:rsidR="00F322BC" w:rsidRPr="00F322BC" w:rsidRDefault="00F322BC" w:rsidP="00F322BC">
            <w:pPr>
              <w:autoSpaceDE w:val="0"/>
              <w:autoSpaceDN w:val="0"/>
              <w:jc w:val="both"/>
              <w:rPr>
                <w:rFonts w:eastAsia="Calibri"/>
                <w:sz w:val="24"/>
                <w:szCs w:val="24"/>
              </w:rPr>
            </w:pPr>
          </w:p>
        </w:tc>
        <w:tc>
          <w:tcPr>
            <w:tcW w:w="283" w:type="dxa"/>
          </w:tcPr>
          <w:p w:rsidR="00F322BC" w:rsidRPr="00F322BC" w:rsidRDefault="00F322BC" w:rsidP="00F322BC">
            <w:pPr>
              <w:autoSpaceDE w:val="0"/>
              <w:autoSpaceDN w:val="0"/>
              <w:jc w:val="both"/>
              <w:rPr>
                <w:rFonts w:eastAsia="Calibri"/>
                <w:sz w:val="24"/>
                <w:szCs w:val="24"/>
              </w:rPr>
            </w:pPr>
          </w:p>
        </w:tc>
        <w:tc>
          <w:tcPr>
            <w:tcW w:w="6379" w:type="dxa"/>
            <w:gridSpan w:val="11"/>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lastRenderedPageBreak/>
              <w:t xml:space="preserve">Esas Yasanın 9’uncu </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3. Esas Yasa, 9’uncu maddesi kaldırılmak ve yerine aşağıdaki yeni 9’uncu madde konmak suretiyle değiştirilir: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Maddesinin </w:t>
            </w:r>
          </w:p>
        </w:tc>
        <w:tc>
          <w:tcPr>
            <w:tcW w:w="7655" w:type="dxa"/>
            <w:gridSpan w:val="15"/>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Değiştirilmesi</w:t>
            </w: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r w:rsidRPr="00F322BC">
              <w:rPr>
                <w:rFonts w:eastAsia="Calibri"/>
                <w:sz w:val="24"/>
                <w:szCs w:val="24"/>
              </w:rPr>
              <w:t>“Özel</w:t>
            </w:r>
          </w:p>
          <w:p w:rsidR="00F322BC" w:rsidRPr="00F322BC" w:rsidRDefault="00F322BC" w:rsidP="00F322BC">
            <w:pPr>
              <w:autoSpaceDE w:val="0"/>
              <w:autoSpaceDN w:val="0"/>
              <w:rPr>
                <w:rFonts w:eastAsia="Calibri"/>
                <w:sz w:val="24"/>
                <w:szCs w:val="24"/>
              </w:rPr>
            </w:pPr>
            <w:r w:rsidRPr="00F322BC">
              <w:rPr>
                <w:rFonts w:eastAsia="Calibri"/>
                <w:sz w:val="24"/>
                <w:szCs w:val="24"/>
              </w:rPr>
              <w:t>Ödeme</w:t>
            </w:r>
          </w:p>
          <w:p w:rsidR="00F322BC" w:rsidRPr="00F322BC" w:rsidRDefault="00F322BC" w:rsidP="00F322BC">
            <w:pPr>
              <w:autoSpaceDE w:val="0"/>
              <w:autoSpaceDN w:val="0"/>
              <w:rPr>
                <w:rFonts w:eastAsia="Calibri"/>
                <w:sz w:val="24"/>
                <w:szCs w:val="24"/>
              </w:rPr>
            </w:pPr>
            <w:r w:rsidRPr="00F322BC">
              <w:rPr>
                <w:rFonts w:eastAsia="Calibri"/>
                <w:sz w:val="24"/>
                <w:szCs w:val="24"/>
              </w:rPr>
              <w:t xml:space="preserve"> Şekilleri</w:t>
            </w:r>
          </w:p>
        </w:tc>
        <w:tc>
          <w:tcPr>
            <w:tcW w:w="426" w:type="dxa"/>
            <w:gridSpan w:val="2"/>
          </w:tcPr>
          <w:p w:rsidR="00F322BC" w:rsidRPr="00F322BC" w:rsidRDefault="00F322BC" w:rsidP="00F322BC">
            <w:pPr>
              <w:autoSpaceDE w:val="0"/>
              <w:autoSpaceDN w:val="0"/>
              <w:rPr>
                <w:rFonts w:eastAsia="Calibri"/>
                <w:sz w:val="24"/>
                <w:szCs w:val="24"/>
              </w:rPr>
            </w:pPr>
            <w:r w:rsidRPr="00F322BC">
              <w:rPr>
                <w:rFonts w:eastAsia="Calibri"/>
                <w:sz w:val="24"/>
                <w:szCs w:val="24"/>
              </w:rPr>
              <w:t>9.</w:t>
            </w: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(1)</w:t>
            </w:r>
          </w:p>
        </w:tc>
        <w:tc>
          <w:tcPr>
            <w:tcW w:w="4961" w:type="dxa"/>
            <w:gridSpan w:val="5"/>
            <w:vMerge w:val="restart"/>
          </w:tcPr>
          <w:p w:rsidR="00F322BC" w:rsidRPr="00F322BC" w:rsidRDefault="00F322BC" w:rsidP="00F322BC">
            <w:pPr>
              <w:autoSpaceDE w:val="0"/>
              <w:autoSpaceDN w:val="0"/>
              <w:jc w:val="both"/>
              <w:rPr>
                <w:rFonts w:eastAsia="Calibri"/>
                <w:sz w:val="24"/>
                <w:szCs w:val="24"/>
              </w:rPr>
            </w:pPr>
            <w:proofErr w:type="gramStart"/>
            <w:r w:rsidRPr="00F322BC">
              <w:rPr>
                <w:rFonts w:eastAsia="Calibri"/>
                <w:sz w:val="24"/>
                <w:szCs w:val="24"/>
              </w:rPr>
              <w:t>Devlete ait gelirlerin tahsilinde, Maliye İşleriyle Görevli Bakanlık, banka ve postaneleri de görevlendirebilir; ödemelerin çekle yapılması halinde, yükümlülerin banka hesaplarından Tahsilattan Sorumlu Dairenin, Merkez Bankası veya diğer bankalarda bulunan hesaplarına aktarma yapılması, Gelir ve Vergi Dairesinin hesabı bulunan bankalara ödeme yapılması, banka kartı, kredi kartı ve benzeri kartlar kullanılması ve yükümlülerin Devletten olan alacakları ile kamu borçlarının birbirine takas edilmesi suretiyle de tahsilatı düzenleyebilir.</w:t>
            </w:r>
            <w:proofErr w:type="gramEnd"/>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961" w:type="dxa"/>
            <w:gridSpan w:val="5"/>
            <w:vMerge/>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(2)</w:t>
            </w:r>
          </w:p>
        </w:tc>
        <w:tc>
          <w:tcPr>
            <w:tcW w:w="4961" w:type="dxa"/>
            <w:gridSpan w:val="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Çekle yapılan ödemeler yürürlükteki mevzuat kurallarına bağlıdır.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(3)</w:t>
            </w:r>
          </w:p>
        </w:tc>
        <w:tc>
          <w:tcPr>
            <w:tcW w:w="4961" w:type="dxa"/>
            <w:gridSpan w:val="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Çekle veya banka hesabından aktarma, banka hesabına ödeme,  banka kartı, kredi kartı ve benzeri kartlar kullanmak suretiyle yapılacak ödemelerde,  herhangi bir nedenle ödeme yapılamaz ise,  kamu alacaklısının borçluya karşı rücu hakkı saklıdır.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(4)</w:t>
            </w:r>
          </w:p>
        </w:tc>
        <w:tc>
          <w:tcPr>
            <w:tcW w:w="4961" w:type="dxa"/>
            <w:gridSpan w:val="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Kredi kartı ile yapılan ödemelerde, işlem tarihini takip eden günden itibaren yapılan ödemelerin hangi sürelerde ve şartlarda Tahsilattan Sorumlu Dairenin hesabına aktarılacağı hususunda bankalar ile sözleşme ve/veya protokoller yapmaya Maliye İşleriyle Görevli Bakanlık yetkilidir.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(5)</w:t>
            </w:r>
          </w:p>
        </w:tc>
        <w:tc>
          <w:tcPr>
            <w:tcW w:w="4961" w:type="dxa"/>
            <w:gridSpan w:val="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Yükümlüler, Devletten olan alacakları ile kamu borçlarını aşağıdaki bentlerde öngörülen koşullar uyarınca takas etmek suretiyle ödeyebilirler: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(A)</w:t>
            </w:r>
          </w:p>
        </w:tc>
        <w:tc>
          <w:tcPr>
            <w:tcW w:w="4394"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Gerçek ve tüzel kişi yükümlülerinden, yeterli miktarda ödeme emrinin bulunması koşuluyla bütçeye gider kaydedilmek suretiyle yapılacak ödemeler veya bütçe emanetinde kayıtlı doğrudan mal ve hizmet tesliminden doğan alacaklar dolayısıyla hem Devletten alacaklı hem de vergi borçlusu olanların takas talepleri yerine getirilir.  </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(B)</w:t>
            </w:r>
          </w:p>
        </w:tc>
        <w:tc>
          <w:tcPr>
            <w:tcW w:w="4394"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Tahsilattan Sorumlu Daire, yukarıdaki (A) bendinde belirtilen şartlara uyulması koşuluyla, yükümlünün Devletten olan </w:t>
            </w:r>
            <w:r w:rsidRPr="00F322BC">
              <w:rPr>
                <w:rFonts w:eastAsia="Calibri"/>
                <w:sz w:val="24"/>
                <w:szCs w:val="24"/>
              </w:rPr>
              <w:lastRenderedPageBreak/>
              <w:t>alacakları ile kamu borçlarının takas edilmesi talebini kabul eder.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(C)</w:t>
            </w:r>
          </w:p>
        </w:tc>
        <w:tc>
          <w:tcPr>
            <w:tcW w:w="4394"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Takas suretiyle ödemenin yapılabilmesi için hem vergi borcunun hem yükümlünün alacağının muaccel olması zorunludur.  </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(6)</w:t>
            </w:r>
          </w:p>
        </w:tc>
        <w:tc>
          <w:tcPr>
            <w:tcW w:w="4961" w:type="dxa"/>
            <w:gridSpan w:val="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Bu madde tahtında, Gelir ve Vergi Dairesi Müdürlüğü takas talebine ilişkin form düzenler.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(7)</w:t>
            </w:r>
          </w:p>
        </w:tc>
        <w:tc>
          <w:tcPr>
            <w:tcW w:w="4961" w:type="dxa"/>
            <w:gridSpan w:val="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Yükümlülerin Devletten olan alacakları ile kamu borçlarının takası ve mahsup işlemleri aşağıdaki bentlerde belirtilen usul ve esaslara göre yapılır: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(A)</w:t>
            </w:r>
          </w:p>
        </w:tc>
        <w:tc>
          <w:tcPr>
            <w:tcW w:w="4394"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Kamuya borcu olan yükümlüler, takas talebine ilişkin formun kendisine ait bölümünü doldurup Tahsilattan Sorumlu Daireye başvururlar. Tahsilattan Sorumlu Daire, takas talebine ilişkin formun ilgili bölümünü, vergi aslı ve varsa gecikme zammı ile cezalarını gösterecek şekilde doldurup onayladıktan sonra yükümlüye iade eder. </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(B)</w:t>
            </w:r>
          </w:p>
        </w:tc>
        <w:tc>
          <w:tcPr>
            <w:tcW w:w="4394"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Tahsilattan Sorumlu Daire tarafından onaylanıp yükümlüye iade edilen takas talebine ilişkin form yükümlü tarafından Hazine ve Muhasebe Dairesine verilir. Hazine ve Muhasebe Dairesi, alacaklılar tarafından kendilerine ibraz edilen takas talebine ilişkin formda istenilen bilgilerin eksiksiz olduğunu gördükten sonra tahakkuk ettirilen ve muaccel hale gelen ödemeye ilişkin bir belge düzenler ve bu belgede vergi borcuna mahsup edilecek tutarı da ayrıca belirtir.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(C)</w:t>
            </w:r>
          </w:p>
        </w:tc>
        <w:tc>
          <w:tcPr>
            <w:tcW w:w="4394"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Tahsilattan Sorumlu Daire, Hazine ve Muhasebe Dairesi tarafından takas talebine ilişkin form ve kanıtlayıcı belgelerle birlikte kendilerine intikal eden ve mahsup edilecek tutarın da gösterildiği belge ve kanıtlayıcı diğer belgeleri de inceledikten sonra ödeme ve mahsubunda sakınca görülmeyenler ile ilgili işlemleri gerçekleştirip, tahsilat makbuzunu düzenler.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(8)</w:t>
            </w:r>
          </w:p>
        </w:tc>
        <w:tc>
          <w:tcPr>
            <w:tcW w:w="4961" w:type="dxa"/>
            <w:gridSpan w:val="5"/>
          </w:tcPr>
          <w:p w:rsidR="00F322BC" w:rsidRPr="00F322BC" w:rsidRDefault="00F322BC" w:rsidP="00F322BC">
            <w:pPr>
              <w:autoSpaceDE w:val="0"/>
              <w:autoSpaceDN w:val="0"/>
              <w:jc w:val="both"/>
              <w:rPr>
                <w:rFonts w:eastAsia="Calibri"/>
                <w:sz w:val="24"/>
                <w:szCs w:val="24"/>
              </w:rPr>
            </w:pPr>
            <w:r w:rsidRPr="00F322BC">
              <w:rPr>
                <w:rFonts w:eastAsia="Calibri"/>
                <w:color w:val="000000"/>
                <w:sz w:val="24"/>
                <w:szCs w:val="24"/>
              </w:rPr>
              <w:t>Bu madde tahtında özel</w:t>
            </w:r>
            <w:r w:rsidRPr="00F322BC">
              <w:rPr>
                <w:rFonts w:eastAsia="Calibri"/>
                <w:sz w:val="24"/>
                <w:szCs w:val="24"/>
              </w:rPr>
              <w:t xml:space="preserve"> ödeme şekilleri ile ilgili diğer hususlar, Maliye İşleriyle Görevli Bakanlıkça hazırlanacak, Bakanlar Kurulunca onaylanarak Resmi </w:t>
            </w:r>
            <w:proofErr w:type="spellStart"/>
            <w:r w:rsidRPr="00F322BC">
              <w:rPr>
                <w:rFonts w:eastAsia="Calibri"/>
                <w:sz w:val="24"/>
                <w:szCs w:val="24"/>
              </w:rPr>
              <w:t>Gazete’de</w:t>
            </w:r>
            <w:proofErr w:type="spellEnd"/>
            <w:r w:rsidRPr="00F322BC">
              <w:rPr>
                <w:rFonts w:eastAsia="Calibri"/>
                <w:sz w:val="24"/>
                <w:szCs w:val="24"/>
              </w:rPr>
              <w:t xml:space="preserve"> yayımlanacak </w:t>
            </w:r>
            <w:r w:rsidRPr="00F322BC">
              <w:rPr>
                <w:rFonts w:eastAsia="Calibri"/>
                <w:color w:val="000000"/>
                <w:sz w:val="24"/>
                <w:szCs w:val="24"/>
              </w:rPr>
              <w:t>tüzükle</w:t>
            </w:r>
            <w:r w:rsidRPr="00F322BC">
              <w:rPr>
                <w:rFonts w:eastAsia="Calibri"/>
                <w:sz w:val="24"/>
                <w:szCs w:val="24"/>
              </w:rPr>
              <w:t xml:space="preserve"> düzenlenir.”</w:t>
            </w:r>
          </w:p>
        </w:tc>
      </w:tr>
      <w:tr w:rsidR="00F322BC" w:rsidRPr="00F322BC" w:rsidTr="00FF52D9">
        <w:trPr>
          <w:trHeight w:val="182"/>
        </w:trPr>
        <w:tc>
          <w:tcPr>
            <w:tcW w:w="1809" w:type="dxa"/>
          </w:tcPr>
          <w:p w:rsidR="00F322BC" w:rsidRPr="00F322BC" w:rsidRDefault="00F322BC" w:rsidP="00F322BC">
            <w:pPr>
              <w:autoSpaceDE w:val="0"/>
              <w:autoSpaceDN w:val="0"/>
              <w:jc w:val="both"/>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426"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961" w:type="dxa"/>
            <w:gridSpan w:val="5"/>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lastRenderedPageBreak/>
              <w:t xml:space="preserve">Esas Yasanın 10’uncu </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4. Esas Yasa, 10’uncu maddesi kaldırılmak ve yerine aşağıdaki yeni 10’uncu madde konmak suretiyle değiştirilir: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Maddesinin</w:t>
            </w:r>
          </w:p>
        </w:tc>
        <w:tc>
          <w:tcPr>
            <w:tcW w:w="7655" w:type="dxa"/>
            <w:gridSpan w:val="15"/>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Değiştirilmesi</w:t>
            </w: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r w:rsidRPr="00F322BC">
              <w:rPr>
                <w:rFonts w:eastAsia="Calibri"/>
                <w:sz w:val="24"/>
                <w:szCs w:val="24"/>
              </w:rPr>
              <w:t>“Yapılan Ödemelerde Ödeme Tarihi</w:t>
            </w: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10.</w:t>
            </w: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(1)</w:t>
            </w:r>
          </w:p>
        </w:tc>
        <w:tc>
          <w:tcPr>
            <w:tcW w:w="4820" w:type="dxa"/>
            <w:gridSpan w:val="4"/>
          </w:tcPr>
          <w:p w:rsidR="00F322BC" w:rsidRPr="00F322BC" w:rsidRDefault="00F322BC" w:rsidP="00F322BC">
            <w:pPr>
              <w:autoSpaceDE w:val="0"/>
              <w:autoSpaceDN w:val="0"/>
              <w:jc w:val="both"/>
              <w:rPr>
                <w:rFonts w:eastAsia="Calibri"/>
                <w:sz w:val="24"/>
                <w:szCs w:val="24"/>
              </w:rPr>
            </w:pPr>
            <w:proofErr w:type="gramStart"/>
            <w:r w:rsidRPr="00F322BC">
              <w:rPr>
                <w:rFonts w:eastAsia="Calibri"/>
                <w:sz w:val="24"/>
                <w:szCs w:val="24"/>
              </w:rPr>
              <w:t>Bu Yasanın 9’uncu maddesine göre yapılan ödemelerde, çekin Tahsilattan Sorumlu Daireye verildiği veya paranın Tahsilattan Sorumlu Dairenin banka hesabına yatırıldığı veya banka kartı, kredi kartı ve benzeri kartlar ile yapılan ödemelerde işlemin kartla yapıldığı veya aktarma emri üzerine paranın Tahsilattan Sorumlu Dairenin hesabına geçtiği ve takas suretiyle yapılan ödemelerde belgenin Tahsilattan Sorumlu Daireye ibraz edilip makbuzun düzenlendiği gün, ödeme yapılmış sayılır.</w:t>
            </w:r>
            <w:proofErr w:type="gramEnd"/>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Ancak;</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709"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(A)</w:t>
            </w:r>
          </w:p>
        </w:tc>
        <w:tc>
          <w:tcPr>
            <w:tcW w:w="4111" w:type="dxa"/>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Çekle yapılan ödemelerde, çekin karşılıksız olması nedeniyle banka tarafından iade edilmesi halinde, ödeme yapılmamış kabul edilir ve kamu alacaklısının uygun göreceği şekilde çekin karşılığı, bu Yasanın 44’üncü maddesinin (1)’inci fıkrasında öngörülen gecikme zamlarıyla birlikte ödenir.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709"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(B)</w:t>
            </w:r>
          </w:p>
        </w:tc>
        <w:tc>
          <w:tcPr>
            <w:tcW w:w="4111" w:type="dxa"/>
          </w:tcPr>
          <w:p w:rsidR="00F322BC" w:rsidRPr="00F322BC" w:rsidRDefault="00F322BC" w:rsidP="00F322BC">
            <w:pPr>
              <w:autoSpaceDE w:val="0"/>
              <w:autoSpaceDN w:val="0"/>
              <w:jc w:val="both"/>
              <w:rPr>
                <w:rFonts w:eastAsia="Calibri"/>
                <w:sz w:val="24"/>
                <w:szCs w:val="24"/>
              </w:rPr>
            </w:pPr>
            <w:proofErr w:type="gramStart"/>
            <w:r w:rsidRPr="00F322BC">
              <w:rPr>
                <w:rFonts w:eastAsia="Calibri"/>
                <w:sz w:val="24"/>
                <w:szCs w:val="24"/>
              </w:rPr>
              <w:t>Banka hesabından aktarma, banka hesabına ödeme,  banka kartı, kredi kartı ve benzeri kartlar kullanmak suretiyle yapılacak ödemelerde,  herhangi bir nedenle ödemenin gerçekleşmemesi veya alacağın tahsil edilememesi halinde, yapılan ödeme karşılığında borcun ödendiğini gösteren tahsilat makbuzunun, tek taraflı iptal edildiği ve ödemenin gerçekleşmediğini belirten bir ihbar yazısı borçluya tebliğ edilerek, kamu alacağı aslına döndürülür ve bu Yasanın 44’üncü maddesinin (1)’inci fıkrasında öngörülen gecikme zamlarıyla birlikte tahsil edilir.</w:t>
            </w:r>
            <w:proofErr w:type="gramEnd"/>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(2)</w:t>
            </w:r>
          </w:p>
        </w:tc>
        <w:tc>
          <w:tcPr>
            <w:tcW w:w="4820"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Çekler, Tahsilattan Sorumlu Daireye verildiği tarihte veya en çok bir gün önceki tarihle tanzim edilmiş olmalıdır. Daha eski veya daha ileri tarihli çek kabul edilmez.”</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lastRenderedPageBreak/>
              <w:t xml:space="preserve">Esas Yasaya Yeni 10A Maddesinin </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5. Esas Yasa, 10’uncu maddesinden hemen sonra aşağıdaki yeni 10A maddesi eklenmek suretiyle değiştirilir:</w:t>
            </w:r>
          </w:p>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Eklenmesi</w:t>
            </w:r>
          </w:p>
          <w:p w:rsidR="00F322BC" w:rsidRPr="00F322BC" w:rsidRDefault="00F322BC" w:rsidP="00F322BC">
            <w:pPr>
              <w:autoSpaceDE w:val="0"/>
              <w:autoSpaceDN w:val="0"/>
              <w:rPr>
                <w:rFonts w:eastAsia="Calibri"/>
                <w:sz w:val="24"/>
                <w:szCs w:val="24"/>
              </w:rPr>
            </w:pPr>
          </w:p>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r w:rsidRPr="00F322BC">
              <w:rPr>
                <w:rFonts w:eastAsia="Calibri"/>
                <w:sz w:val="24"/>
                <w:szCs w:val="24"/>
              </w:rPr>
              <w:t>“Ödemenin Mahsup Edileceği Alacaklar</w:t>
            </w:r>
          </w:p>
        </w:tc>
        <w:tc>
          <w:tcPr>
            <w:tcW w:w="5954" w:type="dxa"/>
            <w:gridSpan w:val="10"/>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10A. Kamu alacağına karşılık yapılan ödemeler ile kamu alacağına karşılık zorla tahsil olunan paralar, alacağın aslı ile gecikme zammının toplamını karşılamaması halinde, yapılan ödeme, alacağın aslı, gecikme zammı ve gecikme faizinden orantılı olarak yapılır.”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Esas Yasanın Birinci Kısmına Bölüm III </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6. Esas Yasa, 11’inci maddesinden hemen sonra aşağıdaki yeni Bölüm III </w:t>
            </w:r>
            <w:proofErr w:type="gramStart"/>
            <w:r w:rsidRPr="00F322BC">
              <w:rPr>
                <w:rFonts w:eastAsia="Calibri"/>
                <w:sz w:val="24"/>
                <w:szCs w:val="24"/>
              </w:rPr>
              <w:t>ve  başlığı</w:t>
            </w:r>
            <w:proofErr w:type="gramEnd"/>
            <w:r w:rsidRPr="00F322BC">
              <w:rPr>
                <w:rFonts w:eastAsia="Calibri"/>
                <w:sz w:val="24"/>
                <w:szCs w:val="24"/>
              </w:rPr>
              <w:t xml:space="preserve"> eklenmek suretiyle değiştirilir:</w:t>
            </w:r>
          </w:p>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Başlığı Eklenmesi</w:t>
            </w:r>
          </w:p>
        </w:tc>
        <w:tc>
          <w:tcPr>
            <w:tcW w:w="7655" w:type="dxa"/>
            <w:gridSpan w:val="15"/>
          </w:tcPr>
          <w:p w:rsidR="00F322BC" w:rsidRPr="00F322BC" w:rsidRDefault="00F322BC" w:rsidP="00F322BC">
            <w:pPr>
              <w:tabs>
                <w:tab w:val="center" w:pos="4853"/>
                <w:tab w:val="left" w:pos="5775"/>
              </w:tabs>
              <w:autoSpaceDE w:val="0"/>
              <w:autoSpaceDN w:val="0"/>
              <w:jc w:val="center"/>
              <w:rPr>
                <w:rFonts w:eastAsia="Calibri"/>
                <w:sz w:val="24"/>
                <w:szCs w:val="24"/>
              </w:rPr>
            </w:pPr>
            <w:r w:rsidRPr="00F322BC">
              <w:rPr>
                <w:rFonts w:eastAsia="Calibri"/>
                <w:sz w:val="24"/>
                <w:szCs w:val="24"/>
              </w:rPr>
              <w:t>“Bölüm III</w:t>
            </w:r>
          </w:p>
          <w:p w:rsidR="00F322BC" w:rsidRPr="00F322BC" w:rsidRDefault="00F322BC" w:rsidP="00F322BC">
            <w:pPr>
              <w:autoSpaceDE w:val="0"/>
              <w:autoSpaceDN w:val="0"/>
              <w:jc w:val="center"/>
              <w:rPr>
                <w:rFonts w:eastAsia="Calibri"/>
                <w:sz w:val="24"/>
                <w:szCs w:val="24"/>
              </w:rPr>
            </w:pPr>
            <w:r w:rsidRPr="00F322BC">
              <w:rPr>
                <w:rFonts w:eastAsia="Calibri"/>
                <w:sz w:val="24"/>
                <w:szCs w:val="24"/>
              </w:rPr>
              <w:t>KAMU ALACAKLARININ KORUNMASI”</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Esas Yasaya Yeni 11A, Yeni 11B ve</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7. Esas Yasa, 11’inci maddesinden hemen sonra sırasıyla aşağıdaki yeni 11A, yeni 11B ve yeni 11C maddeleri eklenmek suretiyle değiştirilir: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Yeni 11C </w:t>
            </w: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p>
        </w:tc>
        <w:tc>
          <w:tcPr>
            <w:tcW w:w="425"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Maddelerinin</w:t>
            </w:r>
          </w:p>
          <w:p w:rsidR="00F322BC" w:rsidRPr="00F322BC" w:rsidRDefault="00F322BC" w:rsidP="00F322BC">
            <w:pPr>
              <w:autoSpaceDE w:val="0"/>
              <w:autoSpaceDN w:val="0"/>
              <w:rPr>
                <w:rFonts w:eastAsia="Calibri"/>
                <w:sz w:val="24"/>
                <w:szCs w:val="24"/>
              </w:rPr>
            </w:pPr>
            <w:r w:rsidRPr="00F322BC">
              <w:rPr>
                <w:rFonts w:eastAsia="Calibri"/>
                <w:sz w:val="24"/>
                <w:szCs w:val="24"/>
              </w:rPr>
              <w:t>Eklenmesi</w:t>
            </w: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“Teminat</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İstenmesi</w:t>
            </w:r>
          </w:p>
        </w:tc>
        <w:tc>
          <w:tcPr>
            <w:tcW w:w="5812" w:type="dxa"/>
            <w:gridSpan w:val="9"/>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11A. Bu Yasa kapsamında yer alan tüm kamu alacakları için gerek görülmesi halinde Tahsilattan Sorumlu Daire tarafından teminat istenebilir.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p>
        </w:tc>
        <w:tc>
          <w:tcPr>
            <w:tcW w:w="425"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Teminat Hususlarına </w:t>
            </w:r>
          </w:p>
        </w:tc>
        <w:tc>
          <w:tcPr>
            <w:tcW w:w="5812" w:type="dxa"/>
            <w:gridSpan w:val="9"/>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11B. Tahsilattan Sorumlu Daire tarafından, teminat olarak kabul edilecek hususlar aşağıda belirtilmiştir: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r w:rsidRPr="00F322BC">
              <w:rPr>
                <w:rFonts w:eastAsia="Calibri"/>
                <w:sz w:val="24"/>
                <w:szCs w:val="24"/>
              </w:rPr>
              <w:t>İlişkin Kural</w:t>
            </w:r>
          </w:p>
          <w:p w:rsidR="00F322BC" w:rsidRPr="00F322BC" w:rsidRDefault="00F322BC" w:rsidP="00F322BC">
            <w:pPr>
              <w:autoSpaceDE w:val="0"/>
              <w:autoSpaceDN w:val="0"/>
              <w:rPr>
                <w:rFonts w:eastAsia="Calibri"/>
                <w:sz w:val="24"/>
                <w:szCs w:val="24"/>
              </w:rPr>
            </w:pPr>
            <w:r w:rsidRPr="00F322BC">
              <w:rPr>
                <w:rFonts w:eastAsia="Calibri"/>
                <w:sz w:val="24"/>
                <w:szCs w:val="24"/>
              </w:rPr>
              <w:t>39/2001</w:t>
            </w:r>
          </w:p>
          <w:p w:rsidR="00F322BC" w:rsidRPr="00F322BC" w:rsidRDefault="00F322BC" w:rsidP="00F322BC">
            <w:pPr>
              <w:autoSpaceDE w:val="0"/>
              <w:autoSpaceDN w:val="0"/>
              <w:rPr>
                <w:rFonts w:eastAsia="Calibri"/>
                <w:sz w:val="24"/>
                <w:szCs w:val="24"/>
              </w:rPr>
            </w:pPr>
            <w:r w:rsidRPr="00F322BC">
              <w:rPr>
                <w:rFonts w:eastAsia="Calibri"/>
                <w:sz w:val="24"/>
                <w:szCs w:val="24"/>
              </w:rPr>
              <w:t xml:space="preserve">    59/2002</w:t>
            </w: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(1)</w:t>
            </w:r>
          </w:p>
        </w:tc>
        <w:tc>
          <w:tcPr>
            <w:tcW w:w="5245" w:type="dxa"/>
            <w:gridSpan w:val="6"/>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Kuzey Kıbrıs Türk Cumhuriyeti Bankalar Yasası uyarınca kurulmuş bankalar tarafından verilen banka çeki,</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(2)</w:t>
            </w:r>
          </w:p>
        </w:tc>
        <w:tc>
          <w:tcPr>
            <w:tcW w:w="5245" w:type="dxa"/>
            <w:gridSpan w:val="6"/>
          </w:tcPr>
          <w:p w:rsidR="00F322BC" w:rsidRPr="00F322BC" w:rsidRDefault="00F322BC" w:rsidP="00F322BC">
            <w:pPr>
              <w:jc w:val="both"/>
              <w:rPr>
                <w:rFonts w:eastAsia="Calibri"/>
                <w:sz w:val="24"/>
                <w:szCs w:val="24"/>
              </w:rPr>
            </w:pPr>
            <w:r w:rsidRPr="00F322BC">
              <w:rPr>
                <w:rFonts w:eastAsia="Calibri"/>
                <w:sz w:val="24"/>
                <w:szCs w:val="24"/>
              </w:rPr>
              <w:t xml:space="preserve">Kuzey Kıbrıs Türk Cumhuriyeti Bankalar Yasası uyarınca kurulmuş bankalar tarafından verilen teminat mektubu, </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(3)</w:t>
            </w:r>
          </w:p>
        </w:tc>
        <w:tc>
          <w:tcPr>
            <w:tcW w:w="5245" w:type="dxa"/>
            <w:gridSpan w:val="6"/>
          </w:tcPr>
          <w:p w:rsidR="00F322BC" w:rsidRPr="00F322BC" w:rsidRDefault="00F322BC" w:rsidP="00F322BC">
            <w:pPr>
              <w:jc w:val="both"/>
              <w:rPr>
                <w:rFonts w:eastAsia="Calibri"/>
                <w:sz w:val="24"/>
                <w:szCs w:val="24"/>
              </w:rPr>
            </w:pPr>
            <w:r w:rsidRPr="00F322BC">
              <w:rPr>
                <w:rFonts w:eastAsia="Calibri"/>
                <w:sz w:val="24"/>
                <w:szCs w:val="24"/>
              </w:rPr>
              <w:t>Kamu borçluları veya kamu borçluları lehine üçüncü şahıslar tarafından teminat olarak verilen ve alacaklı kamu idaresi tarafından teminat olarak kabul edilip Tapu ve Kadastro Dairesi ve/veya diğer sicil kayıtlarının tutulduğu kamu kurumları tarafından sicile şerh düşülerek satışı alacaklı kamu idaresinin izniyle yapılabilecek sicile kayıtlı mallar.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245" w:type="dxa"/>
            <w:gridSpan w:val="6"/>
          </w:tcPr>
          <w:p w:rsidR="00F322BC" w:rsidRPr="00F322BC" w:rsidRDefault="00F322BC" w:rsidP="00F322BC">
            <w:pPr>
              <w:jc w:val="both"/>
              <w:rPr>
                <w:rFonts w:eastAsia="Calibri"/>
                <w:sz w:val="24"/>
                <w:szCs w:val="24"/>
              </w:rPr>
            </w:pPr>
            <w:r w:rsidRPr="00F322BC">
              <w:rPr>
                <w:rFonts w:eastAsia="Calibri"/>
                <w:sz w:val="24"/>
                <w:szCs w:val="24"/>
              </w:rPr>
              <w:tab/>
              <w:t>Ancak teminat olarak verilen sicile kayıtlı mallar, sonradan kısmen veya tamamen değer düşüklüğüne uğrar veya borç miktarında herhangi bir artış olursa, alacaklı kamu idaresi teminat miktarının tamamlanmasını veya bu teminat yerine başka teminat verilmesini isteyebilir. Borçlu verdiği teminatı kısmen veya tamamen aynı değerde başka mallarla değiştirebilir.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25" w:type="dxa"/>
            <w:gridSpan w:val="2"/>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r w:rsidRPr="00F322BC">
              <w:rPr>
                <w:rFonts w:eastAsia="Calibri"/>
                <w:sz w:val="24"/>
                <w:szCs w:val="24"/>
              </w:rPr>
              <w:t>Vergi Güvenlik Belgesi</w:t>
            </w:r>
          </w:p>
        </w:tc>
        <w:tc>
          <w:tcPr>
            <w:tcW w:w="5812" w:type="dxa"/>
            <w:gridSpan w:val="9"/>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11C. Herhangi bir yasada aksine kural bulunup bulunmadığına bakılmaksızın, kamu kurum ve kuruluşları, herhangi bir amaçla işlem yaptırmak üzere müracaatta bulunan gerçek ve tüzel kişilerden gerek görülmesi halinde kamu alacakları bakımından durumlarını belirten bir “Vergi Güvenlik Belgesi” sunmalarını talep edebilir. Bu belge Tahsilattan Sorumlu Daire tarafından düzenlenerek gerçek ve tüzel kişilere verilir.” </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559" w:type="dxa"/>
            <w:gridSpan w:val="5"/>
          </w:tcPr>
          <w:p w:rsidR="00F322BC" w:rsidRPr="00F322BC" w:rsidRDefault="00F322BC" w:rsidP="00F322BC">
            <w:pPr>
              <w:autoSpaceDE w:val="0"/>
              <w:autoSpaceDN w:val="0"/>
              <w:rPr>
                <w:rFonts w:eastAsia="Calibri"/>
                <w:sz w:val="24"/>
                <w:szCs w:val="24"/>
              </w:rPr>
            </w:pPr>
          </w:p>
        </w:tc>
        <w:tc>
          <w:tcPr>
            <w:tcW w:w="425" w:type="dxa"/>
            <w:gridSpan w:val="2"/>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Esas Yasanın 42’nci Maddesinin </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8. Esas Yasa, 42’nci maddesi kaldırılmak ve yerine aşağıdaki yeni 42’nci madde konmak suretiyle değiştirilir:</w:t>
            </w:r>
          </w:p>
          <w:p w:rsidR="00F322BC" w:rsidRPr="00F322BC" w:rsidRDefault="00F322BC" w:rsidP="00F322BC">
            <w:pPr>
              <w:autoSpaceDE w:val="0"/>
              <w:autoSpaceDN w:val="0"/>
              <w:jc w:val="both"/>
              <w:rPr>
                <w:rFonts w:eastAsia="Calibri"/>
                <w:sz w:val="24"/>
                <w:szCs w:val="24"/>
              </w:rPr>
            </w:pPr>
          </w:p>
        </w:tc>
      </w:tr>
      <w:tr w:rsidR="00F322BC" w:rsidRPr="00F322BC" w:rsidTr="00FF52D9">
        <w:trPr>
          <w:trHeight w:val="3594"/>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Değiştirilmesi</w:t>
            </w: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r w:rsidRPr="00F322BC">
              <w:rPr>
                <w:rFonts w:eastAsia="Calibri"/>
                <w:sz w:val="24"/>
                <w:szCs w:val="24"/>
              </w:rPr>
              <w:t>“Tecil İlkeleri</w:t>
            </w:r>
          </w:p>
          <w:p w:rsidR="00F322BC" w:rsidRPr="00F322BC" w:rsidRDefault="00F322BC" w:rsidP="00F322BC">
            <w:pPr>
              <w:autoSpaceDE w:val="0"/>
              <w:autoSpaceDN w:val="0"/>
              <w:jc w:val="both"/>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42.</w:t>
            </w: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(1)</w:t>
            </w: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(A)</w:t>
            </w:r>
          </w:p>
        </w:tc>
        <w:tc>
          <w:tcPr>
            <w:tcW w:w="4253" w:type="dxa"/>
            <w:gridSpan w:val="2"/>
          </w:tcPr>
          <w:p w:rsidR="00F322BC" w:rsidRPr="00F322BC" w:rsidRDefault="00F322BC" w:rsidP="00F322BC">
            <w:pPr>
              <w:autoSpaceDE w:val="0"/>
              <w:autoSpaceDN w:val="0"/>
              <w:jc w:val="both"/>
              <w:rPr>
                <w:rFonts w:eastAsia="Calibri"/>
                <w:sz w:val="24"/>
                <w:szCs w:val="24"/>
              </w:rPr>
            </w:pPr>
            <w:proofErr w:type="gramStart"/>
            <w:r w:rsidRPr="00F322BC">
              <w:rPr>
                <w:rFonts w:eastAsia="Calibri"/>
                <w:sz w:val="24"/>
                <w:szCs w:val="24"/>
              </w:rPr>
              <w:t xml:space="preserve">Kamu alacağının ödenmesi veya haczedilen varlıkların paraya çevrilmesi borçluyu çok zor durumda bırakacaksa,  borçlunun yapacağı yazılı başvuru üzerine, Tahsilattan Sorumlu Dairenin önerisi ve Maliye İşleriyle Görevli Bakanlığın yaptıracağı soruşturma neticesinde, borçlunun iddiasının gerçek olduğu görülürse teminat gösterilmiş olmak şartı ve Maliye İşleriyle Görevli Bakanlığın olumlu görüşü ile iki yılı geçmemek üzere, borçlunun borcu tecil olunabilir. </w:t>
            </w:r>
            <w:proofErr w:type="gramEnd"/>
          </w:p>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(B)</w:t>
            </w:r>
          </w:p>
        </w:tc>
        <w:tc>
          <w:tcPr>
            <w:tcW w:w="4253" w:type="dxa"/>
            <w:gridSpan w:val="2"/>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Yukarıdaki (A) bendi uyarınca tecil edilecek borca, bu maddenin (2)’</w:t>
            </w:r>
            <w:proofErr w:type="spellStart"/>
            <w:r w:rsidRPr="00F322BC">
              <w:rPr>
                <w:rFonts w:eastAsia="Calibri"/>
                <w:sz w:val="24"/>
                <w:szCs w:val="24"/>
              </w:rPr>
              <w:t>nci</w:t>
            </w:r>
            <w:proofErr w:type="spellEnd"/>
            <w:r w:rsidRPr="00F322BC">
              <w:rPr>
                <w:rFonts w:eastAsia="Calibri"/>
                <w:sz w:val="24"/>
                <w:szCs w:val="24"/>
              </w:rPr>
              <w:t xml:space="preserve"> fıkrasında belirlenen tecil faizi uygulanır. Tecil şartlarına uyulmaması halinde, tecil geçersiz olur ve kamu alacağının tamamı muaccel hale gelir. Borcun aslına ödeme tarihinden itibaren gecikme zammı uygulanır. Bu durumda ayrıca tecil faizi uygulanmaz</w:t>
            </w:r>
            <w:r w:rsidRPr="00F322BC">
              <w:rPr>
                <w:rFonts w:eastAsia="Calibri"/>
                <w:color w:val="FF0000"/>
                <w:sz w:val="24"/>
                <w:szCs w:val="24"/>
              </w:rPr>
              <w:t>.</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(2)</w:t>
            </w:r>
          </w:p>
        </w:tc>
        <w:tc>
          <w:tcPr>
            <w:tcW w:w="4820"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Aylık tecil faizi oranı Türk Lirasında %1 (yüzde bir), dövizde %0,5 (binde beş)’</w:t>
            </w:r>
            <w:proofErr w:type="spellStart"/>
            <w:r w:rsidRPr="00F322BC">
              <w:rPr>
                <w:rFonts w:eastAsia="Calibri"/>
                <w:sz w:val="24"/>
                <w:szCs w:val="24"/>
              </w:rPr>
              <w:t>dir</w:t>
            </w:r>
            <w:proofErr w:type="spellEnd"/>
            <w:r w:rsidRPr="00F322BC">
              <w:rPr>
                <w:rFonts w:eastAsia="Calibri"/>
                <w:sz w:val="24"/>
                <w:szCs w:val="24"/>
              </w:rPr>
              <w:t>. Bakanlar Kurulu, tecil faizi oranını, Kuzey Kıbrıs Türk Cumhuriyeti Merkez Bankası ve bankaların uyguladığı faiz oranları ortalamasını dikkate alarak, iki katına kadar artırmaya veya %75 (yüzde yetmiş beş) oranında indirmeye yetkilidir.</w:t>
            </w:r>
          </w:p>
        </w:tc>
      </w:tr>
      <w:tr w:rsidR="00720780" w:rsidRPr="00F322BC" w:rsidTr="00FF52D9">
        <w:trPr>
          <w:trHeight w:val="182"/>
        </w:trPr>
        <w:tc>
          <w:tcPr>
            <w:tcW w:w="1809" w:type="dxa"/>
          </w:tcPr>
          <w:p w:rsidR="00720780" w:rsidRPr="00F322BC" w:rsidRDefault="00720780" w:rsidP="00F322BC">
            <w:pPr>
              <w:autoSpaceDE w:val="0"/>
              <w:autoSpaceDN w:val="0"/>
              <w:rPr>
                <w:rFonts w:eastAsia="Calibri"/>
                <w:sz w:val="24"/>
                <w:szCs w:val="24"/>
              </w:rPr>
            </w:pPr>
          </w:p>
        </w:tc>
        <w:tc>
          <w:tcPr>
            <w:tcW w:w="284" w:type="dxa"/>
          </w:tcPr>
          <w:p w:rsidR="00720780" w:rsidRPr="00F322BC" w:rsidRDefault="00720780" w:rsidP="00F322BC">
            <w:pPr>
              <w:autoSpaceDE w:val="0"/>
              <w:autoSpaceDN w:val="0"/>
              <w:jc w:val="both"/>
              <w:rPr>
                <w:rFonts w:eastAsia="Calibri"/>
                <w:sz w:val="24"/>
                <w:szCs w:val="24"/>
              </w:rPr>
            </w:pPr>
          </w:p>
        </w:tc>
        <w:tc>
          <w:tcPr>
            <w:tcW w:w="1417" w:type="dxa"/>
            <w:gridSpan w:val="4"/>
          </w:tcPr>
          <w:p w:rsidR="00720780" w:rsidRPr="00F322BC" w:rsidRDefault="00720780" w:rsidP="00F322BC">
            <w:pPr>
              <w:autoSpaceDE w:val="0"/>
              <w:autoSpaceDN w:val="0"/>
              <w:rPr>
                <w:rFonts w:eastAsia="Calibri"/>
                <w:sz w:val="24"/>
                <w:szCs w:val="24"/>
              </w:rPr>
            </w:pPr>
          </w:p>
        </w:tc>
        <w:tc>
          <w:tcPr>
            <w:tcW w:w="567" w:type="dxa"/>
            <w:gridSpan w:val="3"/>
          </w:tcPr>
          <w:p w:rsidR="00720780" w:rsidRPr="00F322BC" w:rsidRDefault="00720780" w:rsidP="00F322BC">
            <w:pPr>
              <w:autoSpaceDE w:val="0"/>
              <w:autoSpaceDN w:val="0"/>
              <w:rPr>
                <w:rFonts w:eastAsia="Calibri"/>
                <w:sz w:val="24"/>
                <w:szCs w:val="24"/>
              </w:rPr>
            </w:pPr>
          </w:p>
        </w:tc>
        <w:tc>
          <w:tcPr>
            <w:tcW w:w="567" w:type="dxa"/>
            <w:gridSpan w:val="3"/>
          </w:tcPr>
          <w:p w:rsidR="00720780" w:rsidRPr="00F322BC" w:rsidRDefault="00720780" w:rsidP="00F322BC">
            <w:pPr>
              <w:autoSpaceDE w:val="0"/>
              <w:autoSpaceDN w:val="0"/>
              <w:jc w:val="both"/>
              <w:rPr>
                <w:rFonts w:eastAsia="Calibri"/>
                <w:sz w:val="24"/>
                <w:szCs w:val="24"/>
              </w:rPr>
            </w:pPr>
          </w:p>
        </w:tc>
        <w:tc>
          <w:tcPr>
            <w:tcW w:w="4820" w:type="dxa"/>
            <w:gridSpan w:val="4"/>
          </w:tcPr>
          <w:p w:rsidR="00720780" w:rsidRPr="00F322BC" w:rsidRDefault="00720780"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(3)</w:t>
            </w:r>
          </w:p>
        </w:tc>
        <w:tc>
          <w:tcPr>
            <w:tcW w:w="4820"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Tecil faizi oranı, basit faiz usulü kullanılarak başvuru tarihinden ödeme tarihine kadar geçen süre için ödenecek taksit tutarları üzerinden hesaplanır.”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jc w:val="both"/>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Esas Yasanın 46’ncı Maddesinin </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9. Esas Yasa, 46’ncı maddesi kaldırılmak ve yerine aşağıdaki yeni 46’ncı madde konmak suretiyle değiştirilir: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Değiştirilmesi</w:t>
            </w: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“Kamu </w:t>
            </w:r>
          </w:p>
          <w:p w:rsidR="00F322BC" w:rsidRPr="00F322BC" w:rsidRDefault="00F322BC" w:rsidP="00F322BC">
            <w:pPr>
              <w:autoSpaceDE w:val="0"/>
              <w:autoSpaceDN w:val="0"/>
              <w:jc w:val="both"/>
              <w:rPr>
                <w:rFonts w:eastAsia="Calibri"/>
                <w:sz w:val="24"/>
                <w:szCs w:val="24"/>
              </w:rPr>
            </w:pPr>
            <w:r w:rsidRPr="00F322BC">
              <w:rPr>
                <w:rFonts w:eastAsia="Calibri"/>
                <w:sz w:val="24"/>
                <w:szCs w:val="24"/>
              </w:rPr>
              <w:t>Alacağının Önceliği</w:t>
            </w:r>
          </w:p>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46.</w:t>
            </w: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(1)</w:t>
            </w:r>
          </w:p>
        </w:tc>
        <w:tc>
          <w:tcPr>
            <w:tcW w:w="4820" w:type="dxa"/>
            <w:gridSpan w:val="4"/>
          </w:tcPr>
          <w:p w:rsidR="00F322BC" w:rsidRPr="00F322BC" w:rsidRDefault="00F322BC" w:rsidP="00F322BC">
            <w:pPr>
              <w:autoSpaceDE w:val="0"/>
              <w:autoSpaceDN w:val="0"/>
              <w:jc w:val="both"/>
              <w:rPr>
                <w:rFonts w:eastAsia="Calibri"/>
                <w:sz w:val="24"/>
                <w:szCs w:val="24"/>
              </w:rPr>
            </w:pPr>
            <w:proofErr w:type="gramStart"/>
            <w:r w:rsidRPr="00F322BC">
              <w:rPr>
                <w:rFonts w:eastAsia="Calibri"/>
                <w:sz w:val="24"/>
                <w:szCs w:val="24"/>
              </w:rPr>
              <w:t>Devlete borcu olmadığına ve/veya teminat altına alındığına ilişkin onay alınması koşuluyla, ipotek altına alınıp haczedilen taşınmaz mallar, paraya çevrilmeden önce bunlar üzerinde kamu alacağı için de haciz konulmuşsa, bu alacak da hacze iştirak eder ve öncelik sırası, tarih sırasına göre düzenlenir ve satış bedelinden öncelik hakkını elde eden, tüm alacağını karşıladıktan sonra artan miktardan Devlet ve diğer hacizli alacaklıların alacağı, haciz sırasına göre tahsil edilir.</w:t>
            </w:r>
            <w:proofErr w:type="gramEnd"/>
          </w:p>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         Ancak, malın aynından doğan kamu alacakları ile Gelir ve Vergi Dairesinden onay alınmaksızın üçüncü şahıslar tarafından rehin ve ipotek altına alınan malların haczinde, mallar paraya çevrilmeden önce, doğan kamu alacakları, malın bedelinden tahsilinde diğer alacaklardan önce gelir.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jc w:val="both"/>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(2)</w:t>
            </w:r>
          </w:p>
        </w:tc>
        <w:tc>
          <w:tcPr>
            <w:tcW w:w="4820" w:type="dxa"/>
            <w:gridSpan w:val="4"/>
          </w:tcPr>
          <w:p w:rsidR="00F322BC" w:rsidRPr="00F322BC" w:rsidRDefault="00F322BC" w:rsidP="00F322BC">
            <w:pPr>
              <w:autoSpaceDE w:val="0"/>
              <w:autoSpaceDN w:val="0"/>
              <w:jc w:val="both"/>
              <w:rPr>
                <w:rFonts w:eastAsia="Calibri"/>
                <w:sz w:val="24"/>
                <w:szCs w:val="24"/>
              </w:rPr>
            </w:pPr>
            <w:proofErr w:type="gramStart"/>
            <w:r w:rsidRPr="00F322BC">
              <w:rPr>
                <w:rFonts w:eastAsia="Calibri"/>
                <w:sz w:val="24"/>
                <w:szCs w:val="24"/>
              </w:rPr>
              <w:t>Rehin altına alınıp haczedilen taşınır mallar ile bir sicile işlenen haklar, gemiler, motorlu araçlar gibi mallar paraya çevrilmeden önce bunlar üzerinde kamu alacağı için de haciz konulmuşsa, bu alacak da hacze iştirak eder ve öncelik sırası, tarih sırasına göre düzenlenir ve satış bedelinden öncelik hakkını elde eden, tüm alacağını karşıladıktan sonra artan miktardan Devlet ve diğer hacizli alacaklıların alacağı, haciz sırasına göre tahsil edilir.”</w:t>
            </w:r>
            <w:proofErr w:type="gramEnd"/>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Esas Yasanın 49’uncu </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10. Esas Yasa, 49’uncu maddesi kaldırılmak ve yerine aşağıdaki yeni 49’uncu madde konmak suretiyle değiştirilir: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 xml:space="preserve">Maddesinin </w:t>
            </w: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Değiştirilmesi</w:t>
            </w: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r w:rsidRPr="00F322BC">
              <w:rPr>
                <w:rFonts w:eastAsia="Calibri"/>
                <w:sz w:val="24"/>
                <w:szCs w:val="24"/>
              </w:rPr>
              <w:t>“Yoksulluk</w:t>
            </w:r>
          </w:p>
          <w:p w:rsidR="00F322BC" w:rsidRPr="00F322BC" w:rsidRDefault="00F322BC" w:rsidP="00F322BC">
            <w:pPr>
              <w:autoSpaceDE w:val="0"/>
              <w:autoSpaceDN w:val="0"/>
              <w:rPr>
                <w:rFonts w:eastAsia="Calibri"/>
                <w:sz w:val="24"/>
                <w:szCs w:val="24"/>
              </w:rPr>
            </w:pPr>
            <w:r w:rsidRPr="00F322BC">
              <w:rPr>
                <w:rFonts w:eastAsia="Calibri"/>
                <w:sz w:val="24"/>
                <w:szCs w:val="24"/>
              </w:rPr>
              <w:t xml:space="preserve">  Nedeni ile</w:t>
            </w:r>
          </w:p>
          <w:p w:rsidR="00F322BC" w:rsidRPr="00F322BC" w:rsidRDefault="00F322BC" w:rsidP="00F322BC">
            <w:pPr>
              <w:autoSpaceDE w:val="0"/>
              <w:autoSpaceDN w:val="0"/>
              <w:rPr>
                <w:rFonts w:eastAsia="Calibri"/>
                <w:sz w:val="24"/>
                <w:szCs w:val="24"/>
              </w:rPr>
            </w:pPr>
            <w:r w:rsidRPr="00F322BC">
              <w:rPr>
                <w:rFonts w:eastAsia="Calibri"/>
                <w:sz w:val="24"/>
                <w:szCs w:val="24"/>
              </w:rPr>
              <w:t xml:space="preserve">  Terkin</w:t>
            </w:r>
          </w:p>
          <w:p w:rsidR="00F322BC" w:rsidRPr="00F322BC" w:rsidRDefault="00F322BC" w:rsidP="00F322BC">
            <w:pPr>
              <w:autoSpaceDE w:val="0"/>
              <w:autoSpaceDN w:val="0"/>
              <w:jc w:val="both"/>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49.</w:t>
            </w: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(1)</w:t>
            </w:r>
          </w:p>
        </w:tc>
        <w:tc>
          <w:tcPr>
            <w:tcW w:w="4820"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rPr>
              <w:t>Borçlunun haczi caiz malı olmadığı hallerde yoksulluğa düşmesinin nedeninin araştırılarak kanaat getirilmesi halinde böyle bir borçlunun borcunun tamamı veya bir kısmı terkin edilebilir.</w:t>
            </w:r>
          </w:p>
        </w:tc>
      </w:tr>
      <w:tr w:rsidR="00720780" w:rsidRPr="00F322BC" w:rsidTr="00FF52D9">
        <w:trPr>
          <w:trHeight w:val="182"/>
        </w:trPr>
        <w:tc>
          <w:tcPr>
            <w:tcW w:w="1809" w:type="dxa"/>
          </w:tcPr>
          <w:p w:rsidR="00720780" w:rsidRPr="00F322BC" w:rsidRDefault="00720780" w:rsidP="00F322BC">
            <w:pPr>
              <w:autoSpaceDE w:val="0"/>
              <w:autoSpaceDN w:val="0"/>
              <w:rPr>
                <w:rFonts w:eastAsia="Calibri"/>
                <w:sz w:val="24"/>
                <w:szCs w:val="24"/>
              </w:rPr>
            </w:pPr>
          </w:p>
        </w:tc>
        <w:tc>
          <w:tcPr>
            <w:tcW w:w="284" w:type="dxa"/>
          </w:tcPr>
          <w:p w:rsidR="00720780" w:rsidRPr="00F322BC" w:rsidRDefault="00720780" w:rsidP="00F322BC">
            <w:pPr>
              <w:autoSpaceDE w:val="0"/>
              <w:autoSpaceDN w:val="0"/>
              <w:jc w:val="both"/>
              <w:rPr>
                <w:rFonts w:eastAsia="Calibri"/>
                <w:sz w:val="24"/>
                <w:szCs w:val="24"/>
              </w:rPr>
            </w:pPr>
          </w:p>
        </w:tc>
        <w:tc>
          <w:tcPr>
            <w:tcW w:w="1417" w:type="dxa"/>
            <w:gridSpan w:val="4"/>
          </w:tcPr>
          <w:p w:rsidR="00720780" w:rsidRPr="00F322BC" w:rsidRDefault="00720780" w:rsidP="00F322BC">
            <w:pPr>
              <w:autoSpaceDE w:val="0"/>
              <w:autoSpaceDN w:val="0"/>
              <w:rPr>
                <w:rFonts w:eastAsia="Calibri"/>
                <w:sz w:val="24"/>
                <w:szCs w:val="24"/>
              </w:rPr>
            </w:pPr>
          </w:p>
        </w:tc>
        <w:tc>
          <w:tcPr>
            <w:tcW w:w="567" w:type="dxa"/>
            <w:gridSpan w:val="3"/>
          </w:tcPr>
          <w:p w:rsidR="00720780" w:rsidRPr="00F322BC" w:rsidRDefault="00720780" w:rsidP="00F322BC">
            <w:pPr>
              <w:autoSpaceDE w:val="0"/>
              <w:autoSpaceDN w:val="0"/>
              <w:rPr>
                <w:rFonts w:eastAsia="Calibri"/>
                <w:sz w:val="24"/>
                <w:szCs w:val="24"/>
              </w:rPr>
            </w:pPr>
          </w:p>
        </w:tc>
        <w:tc>
          <w:tcPr>
            <w:tcW w:w="567" w:type="dxa"/>
            <w:gridSpan w:val="3"/>
          </w:tcPr>
          <w:p w:rsidR="00720780" w:rsidRPr="00F322BC" w:rsidRDefault="00720780" w:rsidP="00F322BC">
            <w:pPr>
              <w:autoSpaceDE w:val="0"/>
              <w:autoSpaceDN w:val="0"/>
              <w:rPr>
                <w:rFonts w:eastAsia="Calibri"/>
                <w:sz w:val="24"/>
                <w:szCs w:val="24"/>
              </w:rPr>
            </w:pPr>
          </w:p>
        </w:tc>
        <w:tc>
          <w:tcPr>
            <w:tcW w:w="4820" w:type="dxa"/>
            <w:gridSpan w:val="4"/>
          </w:tcPr>
          <w:p w:rsidR="00720780" w:rsidRPr="00F322BC" w:rsidRDefault="00720780" w:rsidP="00F322BC">
            <w:pPr>
              <w:autoSpaceDE w:val="0"/>
              <w:autoSpaceDN w:val="0"/>
              <w:jc w:val="both"/>
              <w:rPr>
                <w:rFonts w:eastAsia="Calibri"/>
                <w:sz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(2)</w:t>
            </w:r>
          </w:p>
        </w:tc>
        <w:tc>
          <w:tcPr>
            <w:tcW w:w="4820"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Yukarıdaki (1)’inci fıkra uyarınca Maliye İşleriyle Görevli Bakanlıkça hazırlanan önerge, gerekçesi belirtilmek koşuluyla Bakanlar Kuruluna sunulur.</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r w:rsidRPr="00F322BC">
              <w:rPr>
                <w:rFonts w:eastAsia="Calibri"/>
                <w:sz w:val="24"/>
                <w:szCs w:val="24"/>
              </w:rPr>
              <w:t>(3)</w:t>
            </w:r>
          </w:p>
        </w:tc>
        <w:tc>
          <w:tcPr>
            <w:tcW w:w="4820" w:type="dxa"/>
            <w:gridSpan w:val="4"/>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 xml:space="preserve">Bu madde uyarınca Bakanlar Kurulunca kabul edilen borcun terkini, ancak Meclisin bir yasa ile onaylaması ile gerçekleşir.” </w:t>
            </w: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p>
        </w:tc>
        <w:tc>
          <w:tcPr>
            <w:tcW w:w="284" w:type="dxa"/>
          </w:tcPr>
          <w:p w:rsidR="00F322BC" w:rsidRPr="00F322BC" w:rsidRDefault="00F322BC" w:rsidP="00F322BC">
            <w:pPr>
              <w:autoSpaceDE w:val="0"/>
              <w:autoSpaceDN w:val="0"/>
              <w:jc w:val="both"/>
              <w:rPr>
                <w:rFonts w:eastAsia="Calibri"/>
                <w:sz w:val="24"/>
                <w:szCs w:val="24"/>
              </w:rPr>
            </w:pPr>
          </w:p>
        </w:tc>
        <w:tc>
          <w:tcPr>
            <w:tcW w:w="1417" w:type="dxa"/>
            <w:gridSpan w:val="4"/>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567" w:type="dxa"/>
            <w:gridSpan w:val="3"/>
          </w:tcPr>
          <w:p w:rsidR="00F322BC" w:rsidRPr="00F322BC" w:rsidRDefault="00F322BC" w:rsidP="00F322BC">
            <w:pPr>
              <w:autoSpaceDE w:val="0"/>
              <w:autoSpaceDN w:val="0"/>
              <w:rPr>
                <w:rFonts w:eastAsia="Calibri"/>
                <w:sz w:val="24"/>
                <w:szCs w:val="24"/>
              </w:rPr>
            </w:pPr>
          </w:p>
        </w:tc>
        <w:tc>
          <w:tcPr>
            <w:tcW w:w="4820" w:type="dxa"/>
            <w:gridSpan w:val="4"/>
          </w:tcPr>
          <w:p w:rsidR="00F322BC" w:rsidRPr="00F322BC" w:rsidRDefault="00F322BC" w:rsidP="00F322BC">
            <w:pPr>
              <w:autoSpaceDE w:val="0"/>
              <w:autoSpaceDN w:val="0"/>
              <w:jc w:val="both"/>
              <w:rPr>
                <w:rFonts w:eastAsia="Calibri"/>
                <w:sz w:val="24"/>
                <w:szCs w:val="24"/>
              </w:rPr>
            </w:pPr>
          </w:p>
        </w:tc>
      </w:tr>
      <w:tr w:rsidR="00F322BC" w:rsidRPr="00F322BC" w:rsidTr="00FF52D9">
        <w:trPr>
          <w:trHeight w:val="182"/>
        </w:trPr>
        <w:tc>
          <w:tcPr>
            <w:tcW w:w="1809" w:type="dxa"/>
          </w:tcPr>
          <w:p w:rsidR="00F322BC" w:rsidRPr="00F322BC" w:rsidRDefault="00F322BC" w:rsidP="00F322BC">
            <w:pPr>
              <w:autoSpaceDE w:val="0"/>
              <w:autoSpaceDN w:val="0"/>
              <w:rPr>
                <w:rFonts w:eastAsia="Calibri"/>
                <w:sz w:val="24"/>
                <w:szCs w:val="24"/>
              </w:rPr>
            </w:pPr>
            <w:r w:rsidRPr="00F322BC">
              <w:rPr>
                <w:rFonts w:eastAsia="Calibri"/>
                <w:sz w:val="24"/>
                <w:szCs w:val="24"/>
              </w:rPr>
              <w:t>Yürürlüğe</w:t>
            </w:r>
          </w:p>
          <w:p w:rsidR="00F322BC" w:rsidRPr="00F322BC" w:rsidRDefault="00F322BC" w:rsidP="00F322BC">
            <w:pPr>
              <w:autoSpaceDE w:val="0"/>
              <w:autoSpaceDN w:val="0"/>
              <w:rPr>
                <w:rFonts w:eastAsia="Calibri"/>
                <w:sz w:val="24"/>
                <w:szCs w:val="24"/>
              </w:rPr>
            </w:pPr>
            <w:r w:rsidRPr="00F322BC">
              <w:rPr>
                <w:rFonts w:eastAsia="Calibri"/>
                <w:sz w:val="24"/>
                <w:szCs w:val="24"/>
              </w:rPr>
              <w:t>Giriş</w:t>
            </w:r>
          </w:p>
        </w:tc>
        <w:tc>
          <w:tcPr>
            <w:tcW w:w="7655" w:type="dxa"/>
            <w:gridSpan w:val="15"/>
          </w:tcPr>
          <w:p w:rsidR="00F322BC" w:rsidRPr="00F322BC" w:rsidRDefault="00F322BC" w:rsidP="00F322BC">
            <w:pPr>
              <w:autoSpaceDE w:val="0"/>
              <w:autoSpaceDN w:val="0"/>
              <w:jc w:val="both"/>
              <w:rPr>
                <w:rFonts w:eastAsia="Calibri"/>
                <w:sz w:val="24"/>
                <w:szCs w:val="24"/>
              </w:rPr>
            </w:pPr>
            <w:r w:rsidRPr="00F322BC">
              <w:rPr>
                <w:rFonts w:eastAsia="Calibri"/>
                <w:sz w:val="24"/>
                <w:szCs w:val="24"/>
              </w:rPr>
              <w:t>11. Bu Yasa, yayımlandığı tarihi izleyen ayın başından başlayarak yürürlüğe girer.</w:t>
            </w:r>
          </w:p>
        </w:tc>
      </w:tr>
    </w:tbl>
    <w:p w:rsidR="00F322BC" w:rsidRPr="00F322BC" w:rsidRDefault="00F322BC" w:rsidP="00F322BC">
      <w:pPr>
        <w:autoSpaceDE w:val="0"/>
        <w:autoSpaceDN w:val="0"/>
        <w:rPr>
          <w:rFonts w:eastAsia="Calibri"/>
          <w:sz w:val="24"/>
          <w:szCs w:val="24"/>
          <w:lang w:val="en-US"/>
        </w:rPr>
      </w:pPr>
    </w:p>
    <w:p w:rsidR="00364122" w:rsidRDefault="00364122"/>
    <w:sectPr w:rsidR="003641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11"/>
    <w:rsid w:val="00176EA6"/>
    <w:rsid w:val="00364122"/>
    <w:rsid w:val="00554A11"/>
    <w:rsid w:val="00720780"/>
    <w:rsid w:val="00A411F3"/>
    <w:rsid w:val="00F322BC"/>
    <w:rsid w:val="00F9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37F8E-A92A-4B2D-ACA5-B9E1F28A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BC"/>
    <w:pPr>
      <w:spacing w:after="0" w:line="240" w:lineRule="auto"/>
    </w:pPr>
    <w:rPr>
      <w:rFonts w:ascii="Times New Roman" w:eastAsia="Times New Roman" w:hAnsi="Times New Roman" w:cs="Times New Roman"/>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guliz.avkan</dc:creator>
  <cp:keywords/>
  <dc:description/>
  <cp:lastModifiedBy>HATİCE  CABACABA</cp:lastModifiedBy>
  <cp:revision>2</cp:revision>
  <dcterms:created xsi:type="dcterms:W3CDTF">2018-03-12T07:59:00Z</dcterms:created>
  <dcterms:modified xsi:type="dcterms:W3CDTF">2018-03-12T07:59:00Z</dcterms:modified>
</cp:coreProperties>
</file>